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DF4D2B" w:rsidRPr="00DF4D2B" w:rsidTr="00DF4D2B">
        <w:tc>
          <w:tcPr>
            <w:tcW w:w="0" w:type="auto"/>
            <w:hideMark/>
          </w:tcPr>
          <w:p w:rsidR="00DF4D2B" w:rsidRPr="00DF4D2B" w:rsidRDefault="00DF4D2B">
            <w:pPr>
              <w:outlineLvl w:val="2"/>
              <w:rPr>
                <w:rFonts w:ascii="Tahoma" w:hAnsi="Tahoma" w:cs="Tahoma"/>
                <w:b/>
                <w:bCs/>
                <w:color w:val="666666"/>
                <w:sz w:val="36"/>
                <w:szCs w:val="36"/>
                <w:lang w:val="en-US"/>
              </w:rPr>
            </w:pPr>
          </w:p>
        </w:tc>
        <w:tc>
          <w:tcPr>
            <w:tcW w:w="0" w:type="auto"/>
            <w:hideMark/>
          </w:tcPr>
          <w:p w:rsidR="00DF4D2B" w:rsidRPr="00DF4D2B" w:rsidRDefault="00DF4D2B">
            <w:pPr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</w:p>
        </w:tc>
      </w:tr>
    </w:tbl>
    <w:p w:rsidR="00333CA2" w:rsidRDefault="00333CA2" w:rsidP="00DF4D2B">
      <w:pPr>
        <w:shd w:val="clear" w:color="auto" w:fill="FFFFFF"/>
        <w:outlineLvl w:val="3"/>
        <w:rPr>
          <w:rFonts w:ascii="Tahoma" w:hAnsi="Tahoma" w:cs="Tahoma"/>
          <w:b/>
          <w:bCs/>
          <w:color w:val="666666"/>
          <w:sz w:val="18"/>
          <w:szCs w:val="18"/>
          <w:lang w:val="en-US"/>
        </w:rPr>
      </w:pPr>
    </w:p>
    <w:p w:rsidR="006C494E" w:rsidRDefault="006C494E" w:rsidP="006C494E">
      <w:pPr>
        <w:shd w:val="clear" w:color="auto" w:fill="FFFFFF"/>
        <w:outlineLvl w:val="3"/>
        <w:rPr>
          <w:rFonts w:ascii="Tahoma" w:hAnsi="Tahoma" w:cs="Tahoma"/>
          <w:b/>
          <w:bCs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>Сбербанк России опубликовал сокращенную промежуточную консолидированную финансовую отчетность в соответствии с международными стандартами финансовой отчетности (МСФО) за </w:t>
      </w:r>
      <w:r w:rsidR="0025712E">
        <w:rPr>
          <w:rFonts w:ascii="Tahoma" w:hAnsi="Tahoma" w:cs="Tahoma"/>
          <w:b/>
          <w:bCs/>
          <w:color w:val="666666"/>
          <w:sz w:val="18"/>
          <w:szCs w:val="18"/>
        </w:rPr>
        <w:t>девять</w:t>
      </w:r>
      <w:r>
        <w:rPr>
          <w:rFonts w:ascii="Tahoma" w:hAnsi="Tahoma" w:cs="Tahoma"/>
          <w:b/>
          <w:bCs/>
          <w:color w:val="666666"/>
          <w:sz w:val="18"/>
          <w:szCs w:val="18"/>
        </w:rPr>
        <w:t> месяцев 2012 года</w:t>
      </w:r>
    </w:p>
    <w:p w:rsidR="00DF4D2B" w:rsidRPr="006C494E" w:rsidRDefault="006C494E" w:rsidP="00DF4D2B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proofErr w:type="gramStart"/>
      <w:r>
        <w:rPr>
          <w:rFonts w:ascii="Tahoma" w:hAnsi="Tahoma" w:cs="Tahoma"/>
          <w:color w:val="666666"/>
          <w:sz w:val="20"/>
          <w:szCs w:val="20"/>
        </w:rPr>
        <w:t>Сбербанк</w:t>
      </w:r>
      <w:r w:rsidRPr="006C494E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России</w:t>
      </w:r>
      <w:r w:rsidRPr="006C494E">
        <w:rPr>
          <w:rFonts w:ascii="Tahoma" w:hAnsi="Tahoma" w:cs="Tahoma"/>
          <w:color w:val="666666"/>
          <w:sz w:val="20"/>
          <w:szCs w:val="20"/>
        </w:rPr>
        <w:t xml:space="preserve"> (</w:t>
      </w:r>
      <w:r>
        <w:rPr>
          <w:rFonts w:ascii="Tahoma" w:hAnsi="Tahoma" w:cs="Tahoma"/>
          <w:color w:val="666666"/>
          <w:sz w:val="20"/>
          <w:szCs w:val="20"/>
        </w:rPr>
        <w:t>далее</w:t>
      </w:r>
      <w:r w:rsidRPr="006C494E">
        <w:rPr>
          <w:rFonts w:ascii="Tahoma" w:hAnsi="Tahoma" w:cs="Tahoma"/>
          <w:color w:val="666666"/>
          <w:sz w:val="20"/>
          <w:szCs w:val="20"/>
        </w:rPr>
        <w:t xml:space="preserve"> — «</w:t>
      </w:r>
      <w:r>
        <w:rPr>
          <w:rFonts w:ascii="Tahoma" w:hAnsi="Tahoma" w:cs="Tahoma"/>
          <w:color w:val="666666"/>
          <w:sz w:val="20"/>
          <w:szCs w:val="20"/>
        </w:rPr>
        <w:t>Группа</w:t>
      </w:r>
      <w:r w:rsidRPr="006C494E">
        <w:rPr>
          <w:rFonts w:ascii="Tahoma" w:hAnsi="Tahoma" w:cs="Tahoma"/>
          <w:color w:val="666666"/>
          <w:sz w:val="20"/>
          <w:szCs w:val="20"/>
        </w:rPr>
        <w:t xml:space="preserve">») </w:t>
      </w:r>
      <w:r>
        <w:rPr>
          <w:rFonts w:ascii="Tahoma" w:hAnsi="Tahoma" w:cs="Tahoma"/>
          <w:color w:val="666666"/>
          <w:sz w:val="20"/>
          <w:szCs w:val="20"/>
        </w:rPr>
        <w:t>опубликовал</w:t>
      </w:r>
      <w:r w:rsidR="00EE5E81">
        <w:rPr>
          <w:rFonts w:ascii="Tahoma" w:hAnsi="Tahoma" w:cs="Tahoma"/>
          <w:color w:val="666666"/>
          <w:sz w:val="20"/>
          <w:szCs w:val="20"/>
        </w:rPr>
        <w:t xml:space="preserve"> </w:t>
      </w:r>
      <w:hyperlink r:id="rId6" w:history="1">
        <w:r w:rsidR="00EE5E81" w:rsidRPr="008D3A4A">
          <w:rPr>
            <w:rStyle w:val="a7"/>
            <w:rFonts w:ascii="Tahoma" w:hAnsi="Tahoma" w:cs="Tahoma"/>
            <w:sz w:val="20"/>
            <w:szCs w:val="20"/>
          </w:rPr>
          <w:t xml:space="preserve">сокращенную промежуточную консолидированную финансовую отчетность в соответствии с международными стандартами финансовой отчетности (МСФО) </w:t>
        </w:r>
        <w:r w:rsidRPr="008D3A4A">
          <w:rPr>
            <w:rStyle w:val="a7"/>
            <w:rFonts w:ascii="Tahoma" w:hAnsi="Tahoma" w:cs="Tahoma"/>
            <w:sz w:val="20"/>
            <w:szCs w:val="20"/>
          </w:rPr>
          <w:t>(далее — «отчетность»)</w:t>
        </w:r>
        <w:bookmarkStart w:id="0" w:name="_GoBack"/>
        <w:bookmarkEnd w:id="0"/>
        <w:r w:rsidRPr="008D3A4A">
          <w:rPr>
            <w:rStyle w:val="a7"/>
            <w:rFonts w:ascii="Tahoma" w:hAnsi="Tahoma" w:cs="Tahoma"/>
            <w:sz w:val="20"/>
            <w:szCs w:val="20"/>
          </w:rPr>
          <w:t xml:space="preserve"> </w:t>
        </w:r>
        <w:r w:rsidRPr="008D3A4A">
          <w:rPr>
            <w:rStyle w:val="a7"/>
            <w:rFonts w:ascii="Tahoma" w:hAnsi="Tahoma" w:cs="Tahoma"/>
            <w:sz w:val="20"/>
            <w:szCs w:val="20"/>
          </w:rPr>
          <w:t>по</w:t>
        </w:r>
      </w:hyperlink>
      <w:r>
        <w:rPr>
          <w:rFonts w:ascii="Tahoma" w:hAnsi="Tahoma" w:cs="Tahoma"/>
          <w:color w:val="666666"/>
          <w:sz w:val="20"/>
          <w:szCs w:val="20"/>
        </w:rPr>
        <w:t xml:space="preserve"> состоянию на 30 сентября 2012 года и за девять месяцев, закончившихся 30 сентября 2012 года, содержащую отчет компании ЗАО «Эрнст энд Янг </w:t>
      </w:r>
      <w:proofErr w:type="spellStart"/>
      <w:r>
        <w:rPr>
          <w:rFonts w:ascii="Tahoma" w:hAnsi="Tahoma" w:cs="Tahoma"/>
          <w:color w:val="666666"/>
          <w:sz w:val="20"/>
          <w:szCs w:val="20"/>
        </w:rPr>
        <w:t>Внешаудит</w:t>
      </w:r>
      <w:proofErr w:type="spellEnd"/>
      <w:r>
        <w:rPr>
          <w:rFonts w:ascii="Tahoma" w:hAnsi="Tahoma" w:cs="Tahoma"/>
          <w:color w:val="666666"/>
          <w:sz w:val="20"/>
          <w:szCs w:val="20"/>
        </w:rPr>
        <w:t>» о результатах независимой аудиторской проверки</w:t>
      </w:r>
      <w:r w:rsidRPr="006C494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EE5E81" w:rsidRPr="00EE5E81">
        <w:rPr>
          <w:rFonts w:ascii="Tahoma" w:hAnsi="Tahoma" w:cs="Tahoma"/>
          <w:color w:val="666666"/>
          <w:sz w:val="20"/>
          <w:szCs w:val="20"/>
        </w:rPr>
        <w:t>(</w:t>
      </w:r>
      <w:hyperlink r:id="rId7" w:tgtFrame="_blank" w:history="1">
        <w:r w:rsidR="00EE5E81" w:rsidRPr="008D3A4A">
          <w:rPr>
            <w:rStyle w:val="a7"/>
            <w:rFonts w:ascii="Tahoma" w:hAnsi="Tahoma" w:cs="Tahoma"/>
            <w:sz w:val="20"/>
            <w:szCs w:val="20"/>
          </w:rPr>
          <w:t>Загрузить презентацию).</w:t>
        </w:r>
      </w:hyperlink>
      <w:proofErr w:type="gramEnd"/>
    </w:p>
    <w:p w:rsidR="00AA0AA9" w:rsidRDefault="006C494E" w:rsidP="00AA0AA9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Основные показатели отчета о прибылях и убытках</w:t>
      </w:r>
      <w:r w:rsidR="00AA0AA9">
        <w:rPr>
          <w:rStyle w:val="a3"/>
          <w:rFonts w:ascii="Tahoma" w:hAnsi="Tahoma" w:cs="Tahoma"/>
          <w:color w:val="666666"/>
          <w:sz w:val="20"/>
          <w:szCs w:val="20"/>
        </w:rPr>
        <w:t>:</w:t>
      </w:r>
    </w:p>
    <w:p w:rsidR="00012985" w:rsidRPr="006C494E" w:rsidRDefault="002244C7" w:rsidP="006C494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Cs/>
          <w:color w:val="666666"/>
          <w:sz w:val="20"/>
          <w:szCs w:val="20"/>
        </w:rPr>
      </w:pPr>
      <w:r w:rsidRPr="006C494E">
        <w:rPr>
          <w:rFonts w:ascii="Tahoma" w:hAnsi="Tahoma" w:cs="Tahoma"/>
          <w:b/>
          <w:bCs/>
          <w:color w:val="666666"/>
          <w:sz w:val="20"/>
          <w:szCs w:val="20"/>
        </w:rPr>
        <w:t>Чистая прибыль Группы</w:t>
      </w:r>
      <w:r w:rsidR="006C494E" w:rsidRPr="006C494E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6C494E">
        <w:rPr>
          <w:rFonts w:ascii="Tahoma" w:hAnsi="Tahoma" w:cs="Tahoma"/>
          <w:b/>
          <w:bCs/>
          <w:color w:val="666666"/>
          <w:sz w:val="20"/>
          <w:szCs w:val="20"/>
        </w:rPr>
        <w:t>за</w:t>
      </w:r>
      <w:r w:rsidR="0025712E">
        <w:rPr>
          <w:rFonts w:ascii="Tahoma" w:hAnsi="Tahoma" w:cs="Tahoma"/>
          <w:b/>
          <w:bCs/>
          <w:color w:val="666666"/>
          <w:sz w:val="20"/>
          <w:szCs w:val="20"/>
        </w:rPr>
        <w:t xml:space="preserve"> девять</w:t>
      </w:r>
      <w:r w:rsidR="006C494E">
        <w:rPr>
          <w:rFonts w:ascii="Tahoma" w:hAnsi="Tahoma" w:cs="Tahoma"/>
          <w:b/>
          <w:bCs/>
          <w:color w:val="666666"/>
          <w:sz w:val="20"/>
          <w:szCs w:val="20"/>
        </w:rPr>
        <w:t xml:space="preserve"> месяцев 2012 года</w:t>
      </w:r>
      <w:r w:rsidRPr="006C494E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Pr="006C494E">
        <w:rPr>
          <w:rFonts w:ascii="Tahoma" w:hAnsi="Tahoma" w:cs="Tahoma"/>
          <w:bCs/>
          <w:color w:val="666666"/>
          <w:sz w:val="20"/>
          <w:szCs w:val="20"/>
        </w:rPr>
        <w:t>составила 262,8 млрд. руб. (или 12,13 рубля на обыкновенную акцию), что на 2,7% больше прибыли за аналогичный период 2011 года в размере 255,8 млрд. руб. (или 11,81 рубля на обыкновенную акцию).</w:t>
      </w:r>
    </w:p>
    <w:p w:rsidR="006C494E" w:rsidRPr="003218DF" w:rsidRDefault="006C494E" w:rsidP="006C494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5" w:lineRule="atLeast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D24E96">
        <w:rPr>
          <w:rStyle w:val="a3"/>
          <w:rFonts w:ascii="Tahoma" w:hAnsi="Tahoma" w:cs="Tahoma"/>
          <w:color w:val="666666"/>
          <w:sz w:val="20"/>
          <w:szCs w:val="20"/>
        </w:rPr>
        <w:t>Операционные доходы Группы до резерв</w:t>
      </w:r>
      <w:r>
        <w:rPr>
          <w:rStyle w:val="a3"/>
          <w:rFonts w:ascii="Tahoma" w:hAnsi="Tahoma" w:cs="Tahoma"/>
          <w:color w:val="666666"/>
          <w:sz w:val="20"/>
          <w:szCs w:val="20"/>
        </w:rPr>
        <w:t>ов</w:t>
      </w:r>
      <w:r w:rsidRPr="00D24E96">
        <w:rPr>
          <w:rStyle w:val="a3"/>
          <w:rFonts w:ascii="Tahoma" w:hAnsi="Tahoma" w:cs="Tahoma"/>
          <w:color w:val="666666"/>
          <w:sz w:val="20"/>
          <w:szCs w:val="20"/>
        </w:rPr>
        <w:t xml:space="preserve"> под обесценение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кредитного портфеля </w:t>
      </w:r>
      <w:r w:rsidRPr="003218DF">
        <w:rPr>
          <w:rStyle w:val="a3"/>
          <w:rFonts w:ascii="Tahoma" w:hAnsi="Tahoma" w:cs="Tahoma"/>
          <w:b w:val="0"/>
          <w:color w:val="666666"/>
          <w:sz w:val="20"/>
          <w:szCs w:val="20"/>
        </w:rPr>
        <w:t>увеличились на 2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3</w:t>
      </w:r>
      <w:r w:rsidRPr="003218DF"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0</w:t>
      </w:r>
      <w:r w:rsidRPr="003218DF">
        <w:rPr>
          <w:rStyle w:val="a3"/>
          <w:rFonts w:ascii="Tahoma" w:hAnsi="Tahoma" w:cs="Tahoma"/>
          <w:b w:val="0"/>
          <w:color w:val="666666"/>
          <w:sz w:val="20"/>
          <w:szCs w:val="20"/>
        </w:rPr>
        <w:t>%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, составив 665,6 млрд. рублей в сравнении с 541,3 млрд. рублей за </w:t>
      </w:r>
      <w:r w:rsidR="0025712E">
        <w:rPr>
          <w:rStyle w:val="a3"/>
          <w:rFonts w:ascii="Tahoma" w:hAnsi="Tahoma" w:cs="Tahoma"/>
          <w:b w:val="0"/>
          <w:color w:val="666666"/>
          <w:sz w:val="20"/>
          <w:szCs w:val="20"/>
        </w:rPr>
        <w:t>девять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BC15E2">
        <w:rPr>
          <w:rStyle w:val="a3"/>
          <w:rFonts w:ascii="Tahoma" w:hAnsi="Tahoma" w:cs="Tahoma"/>
          <w:b w:val="0"/>
          <w:color w:val="666666"/>
          <w:sz w:val="20"/>
          <w:szCs w:val="20"/>
        </w:rPr>
        <w:t>месяцев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</w:t>
      </w:r>
      <w:r w:rsidR="007A17B9">
        <w:rPr>
          <w:rStyle w:val="a3"/>
          <w:rFonts w:ascii="Tahoma" w:hAnsi="Tahoma" w:cs="Tahoma"/>
          <w:b w:val="0"/>
          <w:color w:val="666666"/>
          <w:sz w:val="20"/>
          <w:szCs w:val="20"/>
        </w:rPr>
        <w:t>1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года. Данный рост в основном вызван увеличением чистого процентного дохода и чистого комиссионного дохода.</w:t>
      </w:r>
    </w:p>
    <w:p w:rsidR="00AA0AA9" w:rsidRPr="0025712E" w:rsidRDefault="002244C7" w:rsidP="0025712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Cs/>
          <w:color w:val="666666"/>
          <w:sz w:val="20"/>
          <w:szCs w:val="20"/>
        </w:rPr>
      </w:pPr>
      <w:r w:rsidRPr="0025712E">
        <w:rPr>
          <w:rFonts w:ascii="Tahoma" w:hAnsi="Tahoma" w:cs="Tahoma"/>
          <w:b/>
          <w:bCs/>
          <w:color w:val="666666"/>
          <w:sz w:val="20"/>
          <w:szCs w:val="20"/>
        </w:rPr>
        <w:t xml:space="preserve">Отношение операционных расходов к операционным доходам </w:t>
      </w:r>
      <w:r w:rsidRPr="0025712E">
        <w:rPr>
          <w:rFonts w:ascii="Tahoma" w:hAnsi="Tahoma" w:cs="Tahoma"/>
          <w:bCs/>
          <w:color w:val="666666"/>
          <w:sz w:val="20"/>
          <w:szCs w:val="20"/>
        </w:rPr>
        <w:t xml:space="preserve">остаётся на приемлемом для Группы уровне </w:t>
      </w:r>
      <w:r w:rsidRPr="0025712E">
        <w:rPr>
          <w:rFonts w:ascii="Tahoma" w:hAnsi="Tahoma" w:cs="Tahoma"/>
          <w:b/>
          <w:bCs/>
          <w:color w:val="666666"/>
          <w:sz w:val="20"/>
          <w:szCs w:val="20"/>
        </w:rPr>
        <w:t>47,3%</w:t>
      </w:r>
      <w:r w:rsidRPr="0025712E">
        <w:rPr>
          <w:rFonts w:ascii="Tahoma" w:hAnsi="Tahoma" w:cs="Tahoma"/>
          <w:bCs/>
          <w:color w:val="666666"/>
          <w:sz w:val="20"/>
          <w:szCs w:val="20"/>
        </w:rPr>
        <w:t xml:space="preserve"> по сравнению с 44,2% за девять месяцев 2011 года.</w:t>
      </w:r>
      <w:r w:rsidR="00AA0AA9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E338A2" w:rsidRPr="0025712E" w:rsidRDefault="0025712E" w:rsidP="00AA0A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Рентабельность капитала</w:t>
      </w:r>
      <w:r>
        <w:rPr>
          <w:rFonts w:ascii="Tahoma" w:hAnsi="Tahoma" w:cs="Tahoma"/>
          <w:color w:val="666666"/>
          <w:sz w:val="20"/>
          <w:szCs w:val="20"/>
        </w:rPr>
        <w:t xml:space="preserve"> осталась на высоком уровне, составив </w:t>
      </w:r>
      <w:r w:rsidRPr="0025712E">
        <w:rPr>
          <w:rFonts w:ascii="Tahoma" w:hAnsi="Tahoma" w:cs="Tahoma"/>
          <w:b/>
          <w:color w:val="666666"/>
          <w:sz w:val="20"/>
          <w:szCs w:val="20"/>
        </w:rPr>
        <w:t>25,1%</w:t>
      </w:r>
      <w:r>
        <w:rPr>
          <w:rFonts w:ascii="Tahoma" w:hAnsi="Tahoma" w:cs="Tahoma"/>
          <w:color w:val="666666"/>
          <w:sz w:val="20"/>
          <w:szCs w:val="20"/>
        </w:rPr>
        <w:t xml:space="preserve"> за девять месяцев 2012 года в сравнении с 31.5% за девять месяцев 2011 года.</w:t>
      </w:r>
    </w:p>
    <w:p w:rsidR="00DF4D2B" w:rsidRDefault="0025712E" w:rsidP="00C460F3">
      <w:pPr>
        <w:shd w:val="clear" w:color="auto" w:fill="FFFFFF"/>
        <w:spacing w:after="300"/>
        <w:jc w:val="both"/>
        <w:rPr>
          <w:rStyle w:val="a3"/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Основные показатели отчета о финансовом положении</w:t>
      </w:r>
      <w:r w:rsidR="00DF4D2B" w:rsidRPr="0025712E">
        <w:rPr>
          <w:rStyle w:val="a3"/>
          <w:rFonts w:ascii="Tahoma" w:hAnsi="Tahoma" w:cs="Tahoma"/>
          <w:color w:val="666666"/>
          <w:sz w:val="20"/>
          <w:szCs w:val="20"/>
        </w:rPr>
        <w:t>:</w:t>
      </w:r>
    </w:p>
    <w:p w:rsidR="0025712E" w:rsidRPr="0025712E" w:rsidRDefault="0025712E" w:rsidP="00C460F3">
      <w:pPr>
        <w:numPr>
          <w:ilvl w:val="0"/>
          <w:numId w:val="1"/>
        </w:numPr>
        <w:shd w:val="clear" w:color="auto" w:fill="FFFFFF"/>
        <w:tabs>
          <w:tab w:val="num" w:pos="426"/>
        </w:tabs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25712E">
        <w:rPr>
          <w:rFonts w:ascii="Tahoma" w:hAnsi="Tahoma" w:cs="Tahoma"/>
          <w:b/>
          <w:color w:val="666666"/>
          <w:sz w:val="20"/>
          <w:szCs w:val="20"/>
        </w:rPr>
        <w:t>Рост активов Группы за девять месяцев 2012 года составил 27,0%</w:t>
      </w:r>
      <w:r w:rsidRPr="0025712E">
        <w:rPr>
          <w:rFonts w:ascii="Tahoma" w:hAnsi="Tahoma" w:cs="Tahoma"/>
          <w:color w:val="666666"/>
          <w:sz w:val="20"/>
          <w:szCs w:val="20"/>
        </w:rPr>
        <w:t xml:space="preserve">, в том числе 11,9% за счет приобретения </w:t>
      </w:r>
      <w:r w:rsidRPr="0025712E">
        <w:rPr>
          <w:rFonts w:ascii="Tahoma" w:hAnsi="Tahoma" w:cs="Tahoma"/>
          <w:color w:val="666666"/>
          <w:sz w:val="20"/>
          <w:szCs w:val="20"/>
          <w:lang w:val="en-US"/>
        </w:rPr>
        <w:t>Deniz</w:t>
      </w:r>
      <w:r w:rsidR="005E6D1B">
        <w:rPr>
          <w:rFonts w:ascii="Tahoma" w:hAnsi="Tahoma" w:cs="Tahoma"/>
          <w:color w:val="666666"/>
          <w:sz w:val="20"/>
          <w:szCs w:val="20"/>
          <w:lang w:val="en-US"/>
        </w:rPr>
        <w:t>B</w:t>
      </w:r>
      <w:r w:rsidRPr="0025712E">
        <w:rPr>
          <w:rFonts w:ascii="Tahoma" w:hAnsi="Tahoma" w:cs="Tahoma"/>
          <w:color w:val="666666"/>
          <w:sz w:val="20"/>
          <w:szCs w:val="20"/>
          <w:lang w:val="en-US"/>
        </w:rPr>
        <w:t>ank</w:t>
      </w:r>
      <w:r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8C2E10">
        <w:rPr>
          <w:rFonts w:ascii="Tahoma" w:hAnsi="Tahoma" w:cs="Tahoma"/>
          <w:color w:val="666666"/>
          <w:sz w:val="20"/>
          <w:szCs w:val="20"/>
          <w:lang w:val="en-US"/>
        </w:rPr>
        <w:t>AS</w:t>
      </w:r>
      <w:r w:rsidR="008C2E10" w:rsidRPr="008C2E10">
        <w:rPr>
          <w:rFonts w:ascii="Tahoma" w:hAnsi="Tahoma" w:cs="Tahoma"/>
          <w:color w:val="666666"/>
          <w:sz w:val="20"/>
          <w:szCs w:val="20"/>
        </w:rPr>
        <w:t xml:space="preserve"> (</w:t>
      </w:r>
      <w:r w:rsidR="008C2E10">
        <w:rPr>
          <w:rFonts w:ascii="Tahoma" w:hAnsi="Tahoma" w:cs="Tahoma"/>
          <w:color w:val="666666"/>
          <w:sz w:val="20"/>
          <w:szCs w:val="20"/>
          <w:lang w:val="en-US"/>
        </w:rPr>
        <w:t>DenizBank</w:t>
      </w:r>
      <w:r w:rsidR="008C2E10" w:rsidRPr="008C2E10">
        <w:rPr>
          <w:rFonts w:ascii="Tahoma" w:hAnsi="Tahoma" w:cs="Tahoma"/>
          <w:color w:val="666666"/>
          <w:sz w:val="20"/>
          <w:szCs w:val="20"/>
        </w:rPr>
        <w:t xml:space="preserve">) </w:t>
      </w:r>
      <w:r w:rsidRPr="0025712E">
        <w:rPr>
          <w:rFonts w:ascii="Tahoma" w:hAnsi="Tahoma" w:cs="Tahoma"/>
          <w:color w:val="666666"/>
          <w:sz w:val="20"/>
          <w:szCs w:val="20"/>
        </w:rPr>
        <w:t xml:space="preserve">и </w:t>
      </w:r>
      <w:r w:rsidRPr="0025712E">
        <w:rPr>
          <w:rFonts w:ascii="Tahoma" w:hAnsi="Tahoma" w:cs="Tahoma"/>
          <w:color w:val="666666"/>
          <w:sz w:val="20"/>
          <w:szCs w:val="20"/>
          <w:lang w:val="en-US"/>
        </w:rPr>
        <w:t>Sberbank</w:t>
      </w:r>
      <w:r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5712E">
        <w:rPr>
          <w:rFonts w:ascii="Tahoma" w:hAnsi="Tahoma" w:cs="Tahoma"/>
          <w:color w:val="666666"/>
          <w:sz w:val="20"/>
          <w:szCs w:val="20"/>
          <w:lang w:val="en-US"/>
        </w:rPr>
        <w:t>Europe</w:t>
      </w:r>
      <w:r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25712E">
        <w:rPr>
          <w:rFonts w:ascii="Tahoma" w:hAnsi="Tahoma" w:cs="Tahoma"/>
          <w:color w:val="666666"/>
          <w:sz w:val="20"/>
          <w:szCs w:val="20"/>
          <w:lang w:val="en-US"/>
        </w:rPr>
        <w:t>AG</w:t>
      </w:r>
      <w:r w:rsidR="005E6D1B" w:rsidRPr="005E6D1B">
        <w:rPr>
          <w:rFonts w:ascii="Tahoma" w:hAnsi="Tahoma" w:cs="Tahoma"/>
          <w:color w:val="666666"/>
          <w:sz w:val="20"/>
          <w:szCs w:val="20"/>
        </w:rPr>
        <w:t xml:space="preserve"> (бывший «</w:t>
      </w:r>
      <w:proofErr w:type="spellStart"/>
      <w:r w:rsidR="005E6D1B" w:rsidRPr="005E6D1B">
        <w:rPr>
          <w:rFonts w:ascii="Tahoma" w:hAnsi="Tahoma" w:cs="Tahoma"/>
          <w:color w:val="666666"/>
          <w:sz w:val="20"/>
          <w:szCs w:val="20"/>
        </w:rPr>
        <w:t>Фольксбанк</w:t>
      </w:r>
      <w:proofErr w:type="spellEnd"/>
      <w:r w:rsidR="005E6D1B" w:rsidRPr="005E6D1B">
        <w:rPr>
          <w:rFonts w:ascii="Tahoma" w:hAnsi="Tahoma" w:cs="Tahoma"/>
          <w:color w:val="666666"/>
          <w:sz w:val="20"/>
          <w:szCs w:val="20"/>
        </w:rPr>
        <w:t xml:space="preserve"> Интернэшнл» АГ (</w:t>
      </w:r>
      <w:r w:rsidR="005E6D1B" w:rsidRPr="005E6D1B">
        <w:rPr>
          <w:rFonts w:ascii="Tahoma" w:hAnsi="Tahoma" w:cs="Tahoma"/>
          <w:color w:val="666666"/>
          <w:sz w:val="20"/>
          <w:szCs w:val="20"/>
          <w:lang w:val="en-US"/>
        </w:rPr>
        <w:t>Volksbank</w:t>
      </w:r>
      <w:r w:rsidR="005E6D1B" w:rsidRPr="005E6D1B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E6D1B" w:rsidRPr="005E6D1B">
        <w:rPr>
          <w:rFonts w:ascii="Tahoma" w:hAnsi="Tahoma" w:cs="Tahoma"/>
          <w:color w:val="666666"/>
          <w:sz w:val="20"/>
          <w:szCs w:val="20"/>
          <w:lang w:val="en-US"/>
        </w:rPr>
        <w:t>International</w:t>
      </w:r>
      <w:r w:rsidR="005E6D1B" w:rsidRPr="005E6D1B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E6D1B" w:rsidRPr="005E6D1B">
        <w:rPr>
          <w:rFonts w:ascii="Tahoma" w:hAnsi="Tahoma" w:cs="Tahoma"/>
          <w:color w:val="666666"/>
          <w:sz w:val="20"/>
          <w:szCs w:val="20"/>
          <w:lang w:val="en-US"/>
        </w:rPr>
        <w:t>AG</w:t>
      </w:r>
      <w:r w:rsidR="005E6D1B" w:rsidRPr="005E6D1B">
        <w:rPr>
          <w:rFonts w:ascii="Tahoma" w:hAnsi="Tahoma" w:cs="Tahoma"/>
          <w:color w:val="666666"/>
          <w:sz w:val="20"/>
          <w:szCs w:val="20"/>
        </w:rPr>
        <w:t>) («</w:t>
      </w:r>
      <w:r w:rsidR="005E6D1B" w:rsidRPr="005E6D1B">
        <w:rPr>
          <w:rFonts w:ascii="Tahoma" w:hAnsi="Tahoma" w:cs="Tahoma"/>
          <w:color w:val="666666"/>
          <w:sz w:val="20"/>
          <w:szCs w:val="20"/>
          <w:lang w:val="en-US"/>
        </w:rPr>
        <w:t>VBI</w:t>
      </w:r>
      <w:r w:rsidR="005E6D1B" w:rsidRPr="005E6D1B">
        <w:rPr>
          <w:rFonts w:ascii="Tahoma" w:hAnsi="Tahoma" w:cs="Tahoma"/>
          <w:color w:val="666666"/>
          <w:sz w:val="20"/>
          <w:szCs w:val="20"/>
        </w:rPr>
        <w:t>»))</w:t>
      </w:r>
      <w:r w:rsidRPr="0025712E">
        <w:rPr>
          <w:rFonts w:ascii="Tahoma" w:hAnsi="Tahoma" w:cs="Tahoma"/>
          <w:color w:val="666666"/>
          <w:sz w:val="20"/>
          <w:szCs w:val="20"/>
        </w:rPr>
        <w:t>.</w:t>
      </w:r>
    </w:p>
    <w:p w:rsidR="00431C8A" w:rsidRPr="00EE5E81" w:rsidRDefault="0059699C" w:rsidP="00EE5E81">
      <w:pPr>
        <w:numPr>
          <w:ilvl w:val="0"/>
          <w:numId w:val="1"/>
        </w:numPr>
        <w:shd w:val="clear" w:color="auto" w:fill="FFFFFF"/>
        <w:tabs>
          <w:tab w:val="num" w:pos="426"/>
        </w:tabs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130C93">
        <w:rPr>
          <w:rFonts w:ascii="Tahoma" w:hAnsi="Tahoma" w:cs="Tahoma"/>
          <w:color w:val="666666"/>
          <w:sz w:val="20"/>
          <w:szCs w:val="20"/>
        </w:rPr>
        <w:t>Группа завершила сделку по приобретению 99,85% акций DenizBank в сентябре 2012 года</w:t>
      </w:r>
      <w:r w:rsidR="00431C8A" w:rsidRPr="00130C93">
        <w:rPr>
          <w:rFonts w:ascii="Tahoma" w:hAnsi="Tahoma" w:cs="Tahoma"/>
          <w:color w:val="666666"/>
          <w:sz w:val="20"/>
          <w:szCs w:val="20"/>
        </w:rPr>
        <w:t>.</w:t>
      </w:r>
      <w:r w:rsidR="00431C8A" w:rsidRPr="0059699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EE5E81">
        <w:rPr>
          <w:rFonts w:ascii="Tahoma" w:hAnsi="Tahoma" w:cs="Tahoma"/>
          <w:color w:val="666666"/>
          <w:sz w:val="20"/>
          <w:szCs w:val="20"/>
        </w:rPr>
        <w:t>DenizBank</w:t>
      </w:r>
      <w:r w:rsidRPr="0059699C">
        <w:rPr>
          <w:rFonts w:ascii="Tahoma" w:hAnsi="Tahoma" w:cs="Tahoma"/>
          <w:color w:val="666666"/>
          <w:sz w:val="20"/>
          <w:szCs w:val="20"/>
        </w:rPr>
        <w:t xml:space="preserve"> занимает 6 место среди частных банков Турции и девятое место среди всех банков страны по </w:t>
      </w:r>
      <w:r w:rsidR="007C433B">
        <w:rPr>
          <w:rFonts w:ascii="Tahoma" w:hAnsi="Tahoma" w:cs="Tahoma"/>
          <w:color w:val="666666"/>
          <w:sz w:val="20"/>
          <w:szCs w:val="20"/>
        </w:rPr>
        <w:t>величине</w:t>
      </w:r>
      <w:r w:rsidRPr="0059699C">
        <w:rPr>
          <w:rFonts w:ascii="Tahoma" w:hAnsi="Tahoma" w:cs="Tahoma"/>
          <w:color w:val="666666"/>
          <w:sz w:val="20"/>
          <w:szCs w:val="20"/>
        </w:rPr>
        <w:t xml:space="preserve"> общих консолидированных активов. </w:t>
      </w:r>
      <w:r w:rsidRPr="00686397">
        <w:rPr>
          <w:rFonts w:ascii="Tahoma" w:hAnsi="Tahoma" w:cs="Tahoma"/>
          <w:color w:val="666666"/>
          <w:sz w:val="20"/>
          <w:szCs w:val="20"/>
        </w:rPr>
        <w:t>Сделка является важным шагом на пути реализации стратегии Сбербанка, позволяя Банку выйти на быстрорастущий банковский рынок Турции</w:t>
      </w:r>
      <w:r w:rsidRPr="0059699C">
        <w:rPr>
          <w:rFonts w:ascii="Tahoma" w:hAnsi="Tahoma" w:cs="Tahoma"/>
          <w:color w:val="666666"/>
          <w:sz w:val="20"/>
          <w:szCs w:val="20"/>
        </w:rPr>
        <w:t xml:space="preserve">. Общий объем активов </w:t>
      </w:r>
      <w:proofErr w:type="spellStart"/>
      <w:r w:rsidR="00431C8A" w:rsidRPr="00EE5E81">
        <w:rPr>
          <w:rFonts w:ascii="Tahoma" w:hAnsi="Tahoma" w:cs="Tahoma"/>
          <w:color w:val="666666"/>
          <w:sz w:val="20"/>
          <w:szCs w:val="20"/>
        </w:rPr>
        <w:t>Deniz</w:t>
      </w:r>
      <w:r w:rsidR="005E6D1B" w:rsidRPr="00EE5E81">
        <w:rPr>
          <w:rFonts w:ascii="Tahoma" w:hAnsi="Tahoma" w:cs="Tahoma"/>
          <w:color w:val="666666"/>
          <w:sz w:val="20"/>
          <w:szCs w:val="20"/>
        </w:rPr>
        <w:t>B</w:t>
      </w:r>
      <w:r w:rsidR="00431C8A" w:rsidRPr="00EE5E81">
        <w:rPr>
          <w:rFonts w:ascii="Tahoma" w:hAnsi="Tahoma" w:cs="Tahoma"/>
          <w:color w:val="666666"/>
          <w:sz w:val="20"/>
          <w:szCs w:val="20"/>
        </w:rPr>
        <w:t>ank</w:t>
      </w:r>
      <w:proofErr w:type="spellEnd"/>
      <w:r w:rsidRPr="0059699C">
        <w:rPr>
          <w:rFonts w:ascii="Tahoma" w:hAnsi="Tahoma" w:cs="Tahoma"/>
          <w:color w:val="666666"/>
          <w:sz w:val="20"/>
          <w:szCs w:val="20"/>
        </w:rPr>
        <w:t xml:space="preserve"> на дату приобретения составил 9</w:t>
      </w:r>
      <w:r w:rsidR="00431C8A" w:rsidRPr="0059699C">
        <w:rPr>
          <w:rFonts w:ascii="Tahoma" w:hAnsi="Tahoma" w:cs="Tahoma"/>
          <w:color w:val="666666"/>
          <w:sz w:val="20"/>
          <w:szCs w:val="20"/>
        </w:rPr>
        <w:t xml:space="preserve">02,5 </w:t>
      </w:r>
      <w:r w:rsidRPr="0059699C">
        <w:rPr>
          <w:rFonts w:ascii="Tahoma" w:hAnsi="Tahoma" w:cs="Tahoma"/>
          <w:color w:val="666666"/>
          <w:sz w:val="20"/>
          <w:szCs w:val="20"/>
        </w:rPr>
        <w:t>млрд. рублей,</w:t>
      </w:r>
      <w:r w:rsidR="002C596B" w:rsidRPr="0059699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59699C">
        <w:rPr>
          <w:rFonts w:ascii="Tahoma" w:hAnsi="Tahoma" w:cs="Tahoma"/>
          <w:color w:val="666666"/>
          <w:sz w:val="20"/>
          <w:szCs w:val="20"/>
        </w:rPr>
        <w:t>кредитов</w:t>
      </w:r>
      <w:r w:rsidR="002C596B" w:rsidRPr="0059699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C86701" w:rsidRPr="0059699C">
        <w:rPr>
          <w:rFonts w:ascii="Tahoma" w:hAnsi="Tahoma" w:cs="Tahoma"/>
          <w:color w:val="666666"/>
          <w:sz w:val="20"/>
          <w:szCs w:val="20"/>
        </w:rPr>
        <w:t>614,3</w:t>
      </w:r>
      <w:r w:rsidR="002C596B" w:rsidRPr="0059699C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59699C">
        <w:rPr>
          <w:rFonts w:ascii="Tahoma" w:hAnsi="Tahoma" w:cs="Tahoma"/>
          <w:color w:val="666666"/>
          <w:sz w:val="20"/>
          <w:szCs w:val="20"/>
        </w:rPr>
        <w:t>млрд. рублей</w:t>
      </w:r>
      <w:r w:rsidR="002C596B" w:rsidRPr="0059699C">
        <w:rPr>
          <w:rFonts w:ascii="Tahoma" w:hAnsi="Tahoma" w:cs="Tahoma"/>
          <w:color w:val="666666"/>
          <w:sz w:val="20"/>
          <w:szCs w:val="20"/>
        </w:rPr>
        <w:t xml:space="preserve">, </w:t>
      </w:r>
      <w:r w:rsidR="008C3542">
        <w:rPr>
          <w:rFonts w:ascii="Tahoma" w:hAnsi="Tahoma" w:cs="Tahoma"/>
          <w:color w:val="666666"/>
          <w:sz w:val="20"/>
          <w:szCs w:val="20"/>
        </w:rPr>
        <w:t>сре</w:t>
      </w:r>
      <w:proofErr w:type="gramStart"/>
      <w:r w:rsidR="008C3542">
        <w:rPr>
          <w:rFonts w:ascii="Tahoma" w:hAnsi="Tahoma" w:cs="Tahoma"/>
          <w:color w:val="666666"/>
          <w:sz w:val="20"/>
          <w:szCs w:val="20"/>
        </w:rPr>
        <w:t>дств кл</w:t>
      </w:r>
      <w:proofErr w:type="gramEnd"/>
      <w:r w:rsidR="008C3542">
        <w:rPr>
          <w:rFonts w:ascii="Tahoma" w:hAnsi="Tahoma" w:cs="Tahoma"/>
          <w:color w:val="666666"/>
          <w:sz w:val="20"/>
          <w:szCs w:val="20"/>
        </w:rPr>
        <w:t xml:space="preserve">иентов - </w:t>
      </w:r>
      <w:r w:rsidR="00C86701" w:rsidRPr="0059699C">
        <w:rPr>
          <w:rFonts w:ascii="Tahoma" w:hAnsi="Tahoma" w:cs="Tahoma"/>
          <w:color w:val="666666"/>
          <w:sz w:val="20"/>
          <w:szCs w:val="20"/>
        </w:rPr>
        <w:t xml:space="preserve">580,4 </w:t>
      </w:r>
      <w:r w:rsidRPr="0059699C">
        <w:rPr>
          <w:rFonts w:ascii="Tahoma" w:hAnsi="Tahoma" w:cs="Tahoma"/>
          <w:color w:val="666666"/>
          <w:sz w:val="20"/>
          <w:szCs w:val="20"/>
        </w:rPr>
        <w:t>млрд. рублей</w:t>
      </w:r>
      <w:r w:rsidR="002C596B" w:rsidRPr="0059699C">
        <w:rPr>
          <w:rFonts w:ascii="Tahoma" w:hAnsi="Tahoma" w:cs="Tahoma"/>
          <w:color w:val="666666"/>
          <w:sz w:val="20"/>
          <w:szCs w:val="20"/>
        </w:rPr>
        <w:t xml:space="preserve">. </w:t>
      </w:r>
      <w:r w:rsidR="00EE5E81">
        <w:rPr>
          <w:rFonts w:ascii="Tahoma" w:hAnsi="Tahoma" w:cs="Tahoma"/>
          <w:color w:val="666666"/>
          <w:sz w:val="20"/>
          <w:szCs w:val="20"/>
        </w:rPr>
        <w:t>Предварительная с</w:t>
      </w:r>
      <w:r>
        <w:rPr>
          <w:rFonts w:ascii="Tahoma" w:hAnsi="Tahoma" w:cs="Tahoma"/>
          <w:color w:val="666666"/>
          <w:sz w:val="20"/>
          <w:szCs w:val="20"/>
        </w:rPr>
        <w:t>праведливая</w:t>
      </w:r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стоимость</w:t>
      </w:r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чистых</w:t>
      </w:r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активов</w:t>
      </w:r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spellStart"/>
      <w:r w:rsidRPr="00EE5E81">
        <w:rPr>
          <w:rFonts w:ascii="Tahoma" w:hAnsi="Tahoma" w:cs="Tahoma"/>
          <w:color w:val="666666"/>
          <w:sz w:val="20"/>
          <w:szCs w:val="20"/>
        </w:rPr>
        <w:t>Deniz</w:t>
      </w:r>
      <w:r w:rsidR="005E6D1B" w:rsidRPr="00EE5E81">
        <w:rPr>
          <w:rFonts w:ascii="Tahoma" w:hAnsi="Tahoma" w:cs="Tahoma"/>
          <w:color w:val="666666"/>
          <w:sz w:val="20"/>
          <w:szCs w:val="20"/>
        </w:rPr>
        <w:t>B</w:t>
      </w:r>
      <w:r w:rsidRPr="00EE5E81">
        <w:rPr>
          <w:rFonts w:ascii="Tahoma" w:hAnsi="Tahoma" w:cs="Tahoma"/>
          <w:color w:val="666666"/>
          <w:sz w:val="20"/>
          <w:szCs w:val="20"/>
        </w:rPr>
        <w:t>ank</w:t>
      </w:r>
      <w:proofErr w:type="spellEnd"/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59699C">
        <w:rPr>
          <w:rFonts w:ascii="Tahoma" w:hAnsi="Tahoma" w:cs="Tahoma"/>
          <w:color w:val="666666"/>
          <w:sz w:val="20"/>
          <w:szCs w:val="20"/>
        </w:rPr>
        <w:t>на</w:t>
      </w:r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59699C">
        <w:rPr>
          <w:rFonts w:ascii="Tahoma" w:hAnsi="Tahoma" w:cs="Tahoma"/>
          <w:color w:val="666666"/>
          <w:sz w:val="20"/>
          <w:szCs w:val="20"/>
        </w:rPr>
        <w:t>дату</w:t>
      </w:r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59699C">
        <w:rPr>
          <w:rFonts w:ascii="Tahoma" w:hAnsi="Tahoma" w:cs="Tahoma"/>
          <w:color w:val="666666"/>
          <w:sz w:val="20"/>
          <w:szCs w:val="20"/>
        </w:rPr>
        <w:t>приобретения</w:t>
      </w:r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составила</w:t>
      </w:r>
      <w:r w:rsidRPr="00130C93">
        <w:rPr>
          <w:rFonts w:ascii="Tahoma" w:hAnsi="Tahoma" w:cs="Tahoma"/>
          <w:color w:val="666666"/>
          <w:sz w:val="20"/>
          <w:szCs w:val="20"/>
        </w:rPr>
        <w:t xml:space="preserve"> </w:t>
      </w:r>
      <w:r w:rsidR="00130C93" w:rsidRPr="00130C93">
        <w:rPr>
          <w:rFonts w:ascii="Tahoma" w:hAnsi="Tahoma" w:cs="Tahoma"/>
          <w:color w:val="666666"/>
          <w:sz w:val="20"/>
          <w:szCs w:val="20"/>
        </w:rPr>
        <w:t xml:space="preserve">98,4 </w:t>
      </w:r>
      <w:r w:rsidR="00130C93" w:rsidRPr="0059699C">
        <w:rPr>
          <w:rFonts w:ascii="Tahoma" w:hAnsi="Tahoma" w:cs="Tahoma"/>
          <w:color w:val="666666"/>
          <w:sz w:val="20"/>
          <w:szCs w:val="20"/>
        </w:rPr>
        <w:t xml:space="preserve">млрд. </w:t>
      </w:r>
      <w:r w:rsidR="00130C93">
        <w:rPr>
          <w:rFonts w:ascii="Tahoma" w:hAnsi="Tahoma" w:cs="Tahoma"/>
          <w:color w:val="666666"/>
          <w:sz w:val="20"/>
          <w:szCs w:val="20"/>
        </w:rPr>
        <w:t>рублей</w:t>
      </w:r>
      <w:r w:rsidRPr="00686397">
        <w:rPr>
          <w:rFonts w:ascii="Tahoma" w:hAnsi="Tahoma" w:cs="Tahoma"/>
          <w:color w:val="666666"/>
          <w:sz w:val="20"/>
          <w:szCs w:val="20"/>
        </w:rPr>
        <w:t>.</w:t>
      </w:r>
    </w:p>
    <w:p w:rsidR="00E70F45" w:rsidRPr="00E70F45" w:rsidRDefault="00822ECC" w:rsidP="00C460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 w:rsidRPr="00822ECC">
        <w:rPr>
          <w:rFonts w:ascii="Tahoma" w:hAnsi="Tahoma" w:cs="Tahoma"/>
          <w:color w:val="666666"/>
          <w:sz w:val="20"/>
          <w:szCs w:val="20"/>
        </w:rPr>
        <w:t>Группа продолжает показывать</w:t>
      </w:r>
      <w:r w:rsidRPr="00822ECC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Pr="00822ECC">
        <w:rPr>
          <w:rFonts w:ascii="Tahoma" w:hAnsi="Tahoma" w:cs="Tahoma"/>
          <w:color w:val="666666"/>
          <w:sz w:val="20"/>
          <w:szCs w:val="20"/>
        </w:rPr>
        <w:t xml:space="preserve">значительные темпы роста розничного кредитования; так, за </w:t>
      </w:r>
      <w:r>
        <w:rPr>
          <w:rFonts w:ascii="Tahoma" w:hAnsi="Tahoma" w:cs="Tahoma"/>
          <w:color w:val="666666"/>
          <w:sz w:val="20"/>
          <w:szCs w:val="20"/>
        </w:rPr>
        <w:t xml:space="preserve">девять </w:t>
      </w:r>
      <w:r w:rsidRPr="00822ECC">
        <w:rPr>
          <w:rFonts w:ascii="Tahoma" w:hAnsi="Tahoma" w:cs="Tahoma"/>
          <w:color w:val="666666"/>
          <w:sz w:val="20"/>
          <w:szCs w:val="20"/>
        </w:rPr>
        <w:t>месяцев 2012 года</w:t>
      </w:r>
      <w:r w:rsidRPr="00822ECC">
        <w:rPr>
          <w:rFonts w:ascii="Tahoma" w:hAnsi="Tahoma" w:cs="Tahoma"/>
          <w:b/>
          <w:color w:val="666666"/>
          <w:sz w:val="20"/>
          <w:szCs w:val="20"/>
        </w:rPr>
        <w:t xml:space="preserve"> розничный портфель до вычета резервов вырос на 48,9%. </w:t>
      </w:r>
      <w:r w:rsidR="00E70F45">
        <w:rPr>
          <w:rFonts w:ascii="Tahoma" w:hAnsi="Tahoma" w:cs="Tahoma"/>
          <w:color w:val="666666"/>
          <w:sz w:val="20"/>
          <w:szCs w:val="20"/>
        </w:rPr>
        <w:t xml:space="preserve">Без учета эффекта от приобретения </w:t>
      </w:r>
      <w:r w:rsidR="00E70F45" w:rsidRPr="0025712E">
        <w:rPr>
          <w:rFonts w:ascii="Tahoma" w:hAnsi="Tahoma" w:cs="Tahoma"/>
          <w:color w:val="666666"/>
          <w:sz w:val="20"/>
          <w:szCs w:val="20"/>
          <w:lang w:val="en-US"/>
        </w:rPr>
        <w:t>Deniz</w:t>
      </w:r>
      <w:r w:rsidR="005E6D1B">
        <w:rPr>
          <w:rFonts w:ascii="Tahoma" w:hAnsi="Tahoma" w:cs="Tahoma"/>
          <w:color w:val="666666"/>
          <w:sz w:val="20"/>
          <w:szCs w:val="20"/>
          <w:lang w:val="en-US"/>
        </w:rPr>
        <w:t>B</w:t>
      </w:r>
      <w:r w:rsidR="00E70F45" w:rsidRPr="0025712E">
        <w:rPr>
          <w:rFonts w:ascii="Tahoma" w:hAnsi="Tahoma" w:cs="Tahoma"/>
          <w:color w:val="666666"/>
          <w:sz w:val="20"/>
          <w:szCs w:val="20"/>
          <w:lang w:val="en-US"/>
        </w:rPr>
        <w:t>ank</w:t>
      </w:r>
      <w:r w:rsidR="00E70F45" w:rsidRPr="0025712E">
        <w:rPr>
          <w:rFonts w:ascii="Tahoma" w:hAnsi="Tahoma" w:cs="Tahoma"/>
          <w:color w:val="666666"/>
          <w:sz w:val="20"/>
          <w:szCs w:val="20"/>
        </w:rPr>
        <w:t xml:space="preserve"> и </w:t>
      </w:r>
      <w:r w:rsidR="00E70F45" w:rsidRPr="0025712E">
        <w:rPr>
          <w:rFonts w:ascii="Tahoma" w:hAnsi="Tahoma" w:cs="Tahoma"/>
          <w:color w:val="666666"/>
          <w:sz w:val="20"/>
          <w:szCs w:val="20"/>
          <w:lang w:val="en-US"/>
        </w:rPr>
        <w:t>Sberbank</w:t>
      </w:r>
      <w:r w:rsidR="00E70F45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E70F45" w:rsidRPr="0025712E">
        <w:rPr>
          <w:rFonts w:ascii="Tahoma" w:hAnsi="Tahoma" w:cs="Tahoma"/>
          <w:color w:val="666666"/>
          <w:sz w:val="20"/>
          <w:szCs w:val="20"/>
          <w:lang w:val="en-US"/>
        </w:rPr>
        <w:t>Europe</w:t>
      </w:r>
      <w:r w:rsidR="00E70F45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E70F45" w:rsidRPr="0025712E">
        <w:rPr>
          <w:rFonts w:ascii="Tahoma" w:hAnsi="Tahoma" w:cs="Tahoma"/>
          <w:color w:val="666666"/>
          <w:sz w:val="20"/>
          <w:szCs w:val="20"/>
          <w:lang w:val="en-US"/>
        </w:rPr>
        <w:t>AG</w:t>
      </w:r>
      <w:r w:rsidR="00E70F45">
        <w:rPr>
          <w:rFonts w:ascii="Tahoma" w:hAnsi="Tahoma" w:cs="Tahoma"/>
          <w:color w:val="666666"/>
          <w:sz w:val="20"/>
          <w:szCs w:val="20"/>
        </w:rPr>
        <w:t xml:space="preserve"> величина роста</w:t>
      </w:r>
      <w:r w:rsidRPr="00822ECC">
        <w:rPr>
          <w:rFonts w:ascii="Tahoma" w:hAnsi="Tahoma" w:cs="Tahoma"/>
          <w:b/>
          <w:color w:val="666666"/>
          <w:sz w:val="20"/>
          <w:szCs w:val="20"/>
        </w:rPr>
        <w:t xml:space="preserve"> розничн</w:t>
      </w:r>
      <w:r w:rsidR="00E70F45">
        <w:rPr>
          <w:rFonts w:ascii="Tahoma" w:hAnsi="Tahoma" w:cs="Tahoma"/>
          <w:b/>
          <w:color w:val="666666"/>
          <w:sz w:val="20"/>
          <w:szCs w:val="20"/>
        </w:rPr>
        <w:t>ого</w:t>
      </w:r>
      <w:r w:rsidRPr="00822ECC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="00E70F45">
        <w:rPr>
          <w:rFonts w:ascii="Tahoma" w:hAnsi="Tahoma" w:cs="Tahoma"/>
          <w:b/>
          <w:color w:val="666666"/>
          <w:sz w:val="20"/>
          <w:szCs w:val="20"/>
        </w:rPr>
        <w:t>портфеля</w:t>
      </w:r>
      <w:r w:rsidRPr="00822ECC">
        <w:rPr>
          <w:rFonts w:ascii="Tahoma" w:hAnsi="Tahoma" w:cs="Tahoma"/>
          <w:b/>
          <w:color w:val="666666"/>
          <w:sz w:val="20"/>
          <w:szCs w:val="20"/>
        </w:rPr>
        <w:t xml:space="preserve"> до вычета резервов </w:t>
      </w:r>
      <w:r w:rsidR="00E70F45" w:rsidRPr="007C433B">
        <w:rPr>
          <w:rFonts w:ascii="Tahoma" w:hAnsi="Tahoma" w:cs="Tahoma"/>
          <w:color w:val="666666"/>
          <w:sz w:val="20"/>
          <w:szCs w:val="20"/>
        </w:rPr>
        <w:t>составила</w:t>
      </w:r>
      <w:r w:rsidRPr="007C433B">
        <w:rPr>
          <w:rFonts w:ascii="Tahoma" w:hAnsi="Tahoma" w:cs="Tahoma"/>
          <w:color w:val="666666"/>
          <w:sz w:val="20"/>
          <w:szCs w:val="20"/>
        </w:rPr>
        <w:t xml:space="preserve"> </w:t>
      </w:r>
      <w:r w:rsidR="00E70F45" w:rsidRPr="007C433B">
        <w:rPr>
          <w:rFonts w:ascii="Tahoma" w:hAnsi="Tahoma" w:cs="Tahoma"/>
          <w:color w:val="666666"/>
          <w:sz w:val="20"/>
          <w:szCs w:val="20"/>
        </w:rPr>
        <w:t>35</w:t>
      </w:r>
      <w:r w:rsidRPr="007C433B">
        <w:rPr>
          <w:rFonts w:ascii="Tahoma" w:hAnsi="Tahoma" w:cs="Tahoma"/>
          <w:color w:val="666666"/>
          <w:sz w:val="20"/>
          <w:szCs w:val="20"/>
        </w:rPr>
        <w:t>,</w:t>
      </w:r>
      <w:r w:rsidR="00E70F45" w:rsidRPr="007C433B">
        <w:rPr>
          <w:rFonts w:ascii="Tahoma" w:hAnsi="Tahoma" w:cs="Tahoma"/>
          <w:color w:val="666666"/>
          <w:sz w:val="20"/>
          <w:szCs w:val="20"/>
        </w:rPr>
        <w:t>4</w:t>
      </w:r>
      <w:r w:rsidRPr="007C433B">
        <w:rPr>
          <w:rFonts w:ascii="Tahoma" w:hAnsi="Tahoma" w:cs="Tahoma"/>
          <w:color w:val="666666"/>
          <w:sz w:val="20"/>
          <w:szCs w:val="20"/>
        </w:rPr>
        <w:t>%.</w:t>
      </w:r>
    </w:p>
    <w:p w:rsidR="00DF4D2B" w:rsidRPr="00E70F45" w:rsidRDefault="00E70F45" w:rsidP="00C460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>Значительное</w:t>
      </w:r>
      <w:r w:rsidRPr="00E70F45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снижение</w:t>
      </w:r>
      <w:r w:rsidRPr="00E70F45">
        <w:rPr>
          <w:rFonts w:ascii="Tahoma" w:hAnsi="Tahoma" w:cs="Tahoma"/>
          <w:color w:val="666666"/>
          <w:sz w:val="20"/>
          <w:szCs w:val="20"/>
        </w:rPr>
        <w:t xml:space="preserve"> портфеля неработающих кредитов (NPL)</w:t>
      </w:r>
      <w:r>
        <w:rPr>
          <w:rFonts w:ascii="Tahoma" w:hAnsi="Tahoma" w:cs="Tahoma"/>
          <w:color w:val="666666"/>
          <w:sz w:val="20"/>
          <w:szCs w:val="20"/>
        </w:rPr>
        <w:t xml:space="preserve"> в 2012 году до 3,4 % от величины кредитного портфеля </w:t>
      </w:r>
      <w:r w:rsidR="00C460F3">
        <w:rPr>
          <w:rFonts w:ascii="Tahoma" w:hAnsi="Tahoma" w:cs="Tahoma"/>
          <w:color w:val="666666"/>
          <w:sz w:val="20"/>
          <w:szCs w:val="20"/>
        </w:rPr>
        <w:t xml:space="preserve">после вычета резервов связано с </w:t>
      </w:r>
      <w:r w:rsidRPr="00A67BD8">
        <w:rPr>
          <w:rFonts w:ascii="Tahoma" w:hAnsi="Tahoma" w:cs="Tahoma"/>
          <w:color w:val="666666"/>
          <w:sz w:val="20"/>
          <w:szCs w:val="20"/>
        </w:rPr>
        <w:t>единичн</w:t>
      </w:r>
      <w:r>
        <w:rPr>
          <w:rFonts w:ascii="Tahoma" w:hAnsi="Tahoma" w:cs="Tahoma"/>
          <w:color w:val="666666"/>
          <w:sz w:val="20"/>
          <w:szCs w:val="20"/>
        </w:rPr>
        <w:t>ой</w:t>
      </w:r>
      <w:r w:rsidRPr="00A67BD8">
        <w:rPr>
          <w:rFonts w:ascii="Tahoma" w:hAnsi="Tahoma" w:cs="Tahoma"/>
          <w:color w:val="666666"/>
          <w:sz w:val="20"/>
          <w:szCs w:val="20"/>
        </w:rPr>
        <w:t xml:space="preserve"> крупн</w:t>
      </w:r>
      <w:r>
        <w:rPr>
          <w:rFonts w:ascii="Tahoma" w:hAnsi="Tahoma" w:cs="Tahoma"/>
          <w:color w:val="666666"/>
          <w:sz w:val="20"/>
          <w:szCs w:val="20"/>
        </w:rPr>
        <w:t>ой</w:t>
      </w:r>
      <w:r w:rsidRPr="00A67BD8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 xml:space="preserve">сделкой </w:t>
      </w:r>
      <w:r w:rsidRPr="00A67BD8">
        <w:rPr>
          <w:rFonts w:ascii="Tahoma" w:hAnsi="Tahoma" w:cs="Tahoma"/>
          <w:color w:val="666666"/>
          <w:sz w:val="20"/>
          <w:szCs w:val="20"/>
        </w:rPr>
        <w:t xml:space="preserve">в рамках </w:t>
      </w:r>
      <w:r>
        <w:rPr>
          <w:rFonts w:ascii="Tahoma" w:hAnsi="Tahoma" w:cs="Tahoma"/>
          <w:color w:val="666666"/>
          <w:sz w:val="20"/>
          <w:szCs w:val="20"/>
        </w:rPr>
        <w:t xml:space="preserve">работы </w:t>
      </w:r>
      <w:r w:rsidRPr="00A67BD8">
        <w:rPr>
          <w:rFonts w:ascii="Tahoma" w:hAnsi="Tahoma" w:cs="Tahoma"/>
          <w:color w:val="666666"/>
          <w:sz w:val="20"/>
          <w:szCs w:val="20"/>
        </w:rPr>
        <w:t>Группы по возврату проблемных кредитов</w:t>
      </w:r>
      <w:r>
        <w:rPr>
          <w:rFonts w:ascii="Tahoma" w:hAnsi="Tahoma" w:cs="Tahoma"/>
          <w:color w:val="666666"/>
          <w:sz w:val="20"/>
          <w:szCs w:val="20"/>
        </w:rPr>
        <w:t xml:space="preserve"> в</w:t>
      </w:r>
      <w:r w:rsidR="0051119B">
        <w:rPr>
          <w:rFonts w:ascii="Tahoma" w:hAnsi="Tahoma" w:cs="Tahoma"/>
          <w:color w:val="666666"/>
          <w:sz w:val="20"/>
          <w:szCs w:val="20"/>
        </w:rPr>
        <w:t>о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51119B">
        <w:rPr>
          <w:rFonts w:ascii="Tahoma" w:hAnsi="Tahoma" w:cs="Tahoma"/>
          <w:color w:val="666666"/>
          <w:sz w:val="20"/>
          <w:szCs w:val="20"/>
        </w:rPr>
        <w:t>2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51119B">
        <w:rPr>
          <w:rFonts w:ascii="Tahoma" w:hAnsi="Tahoma" w:cs="Tahoma"/>
          <w:color w:val="666666"/>
          <w:sz w:val="20"/>
          <w:szCs w:val="20"/>
        </w:rPr>
        <w:t xml:space="preserve">квартале </w:t>
      </w:r>
      <w:r>
        <w:rPr>
          <w:rFonts w:ascii="Tahoma" w:hAnsi="Tahoma" w:cs="Tahoma"/>
          <w:color w:val="666666"/>
          <w:sz w:val="20"/>
          <w:szCs w:val="20"/>
        </w:rPr>
        <w:t xml:space="preserve">2012 </w:t>
      </w:r>
      <w:r w:rsidRPr="00A67BD8">
        <w:rPr>
          <w:rFonts w:ascii="Tahoma" w:hAnsi="Tahoma" w:cs="Tahoma"/>
          <w:color w:val="666666"/>
          <w:sz w:val="20"/>
          <w:szCs w:val="20"/>
        </w:rPr>
        <w:t>.</w:t>
      </w:r>
    </w:p>
    <w:p w:rsidR="00DF4D2B" w:rsidRPr="00936D83" w:rsidRDefault="00936D83" w:rsidP="00C460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Собственные средства Группы</w:t>
      </w:r>
      <w:r>
        <w:rPr>
          <w:rFonts w:ascii="Tahoma" w:hAnsi="Tahoma" w:cs="Tahoma"/>
          <w:color w:val="666666"/>
          <w:sz w:val="20"/>
          <w:szCs w:val="20"/>
        </w:rPr>
        <w:t xml:space="preserve"> выросли за </w:t>
      </w:r>
      <w:r w:rsidR="007A17B9">
        <w:rPr>
          <w:rFonts w:ascii="Tahoma" w:hAnsi="Tahoma" w:cs="Tahoma"/>
          <w:color w:val="666666"/>
          <w:sz w:val="20"/>
          <w:szCs w:val="20"/>
        </w:rPr>
        <w:t>девять</w:t>
      </w:r>
      <w:r>
        <w:rPr>
          <w:rFonts w:ascii="Tahoma" w:hAnsi="Tahoma" w:cs="Tahoma"/>
          <w:color w:val="666666"/>
          <w:sz w:val="20"/>
          <w:szCs w:val="20"/>
        </w:rPr>
        <w:t xml:space="preserve"> месяцев 2012 года на 20,2% и составили 1 523,7 млрд. рублей. Основным источником роста стала чистая прибыль Группы за период.</w:t>
      </w:r>
    </w:p>
    <w:p w:rsidR="00DF4D2B" w:rsidRPr="003F1BF6" w:rsidRDefault="003F1BF6" w:rsidP="00DF4D2B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Обзор финансовых и операционных показателей</w:t>
      </w:r>
      <w:r w:rsidR="00DF4D2B" w:rsidRPr="003F1BF6">
        <w:rPr>
          <w:rStyle w:val="a3"/>
          <w:rFonts w:ascii="Tahoma" w:hAnsi="Tahoma" w:cs="Tahoma"/>
          <w:color w:val="666666"/>
          <w:sz w:val="20"/>
          <w:szCs w:val="20"/>
        </w:rPr>
        <w:t>:</w:t>
      </w:r>
    </w:p>
    <w:p w:rsidR="003F1BF6" w:rsidRDefault="003F1BF6" w:rsidP="00DF4D2B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Процентны</w:t>
      </w:r>
      <w:r w:rsidR="00F4300E">
        <w:rPr>
          <w:rStyle w:val="a3"/>
          <w:rFonts w:ascii="Tahoma" w:hAnsi="Tahoma" w:cs="Tahoma"/>
          <w:color w:val="666666"/>
          <w:sz w:val="20"/>
          <w:szCs w:val="20"/>
        </w:rPr>
        <w:t>е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доход</w:t>
      </w:r>
      <w:r w:rsidR="00F4300E">
        <w:rPr>
          <w:rStyle w:val="a3"/>
          <w:rFonts w:ascii="Tahoma" w:hAnsi="Tahoma" w:cs="Tahoma"/>
          <w:color w:val="666666"/>
          <w:sz w:val="20"/>
          <w:szCs w:val="20"/>
        </w:rPr>
        <w:t>ы</w:t>
      </w:r>
      <w:r>
        <w:rPr>
          <w:rFonts w:ascii="Tahoma" w:hAnsi="Tahoma" w:cs="Tahoma"/>
          <w:color w:val="666666"/>
          <w:sz w:val="20"/>
          <w:szCs w:val="20"/>
        </w:rPr>
        <w:t xml:space="preserve"> за девять месяцев 2012 года увеличил</w:t>
      </w:r>
      <w:r w:rsidR="00F4300E">
        <w:rPr>
          <w:rFonts w:ascii="Tahoma" w:hAnsi="Tahoma" w:cs="Tahoma"/>
          <w:color w:val="666666"/>
          <w:sz w:val="20"/>
          <w:szCs w:val="20"/>
        </w:rPr>
        <w:t>и</w:t>
      </w:r>
      <w:r>
        <w:rPr>
          <w:rFonts w:ascii="Tahoma" w:hAnsi="Tahoma" w:cs="Tahoma"/>
          <w:color w:val="666666"/>
          <w:sz w:val="20"/>
          <w:szCs w:val="20"/>
        </w:rPr>
        <w:t>с</w:t>
      </w:r>
      <w:r w:rsidR="00F4300E">
        <w:rPr>
          <w:rFonts w:ascii="Tahoma" w:hAnsi="Tahoma" w:cs="Tahoma"/>
          <w:color w:val="666666"/>
          <w:sz w:val="20"/>
          <w:szCs w:val="20"/>
        </w:rPr>
        <w:t>ь</w:t>
      </w:r>
      <w:r>
        <w:rPr>
          <w:rFonts w:ascii="Tahoma" w:hAnsi="Tahoma" w:cs="Tahoma"/>
          <w:color w:val="666666"/>
          <w:sz w:val="20"/>
          <w:szCs w:val="20"/>
        </w:rPr>
        <w:t xml:space="preserve"> на 32,8% по сравнению с аналогичным периодом 2011 года и составил</w:t>
      </w:r>
      <w:r w:rsidR="00F4300E">
        <w:rPr>
          <w:rFonts w:ascii="Tahoma" w:hAnsi="Tahoma" w:cs="Tahoma"/>
          <w:color w:val="666666"/>
          <w:sz w:val="20"/>
          <w:szCs w:val="20"/>
        </w:rPr>
        <w:t>и</w:t>
      </w:r>
      <w:r>
        <w:rPr>
          <w:rFonts w:ascii="Tahoma" w:hAnsi="Tahoma" w:cs="Tahoma"/>
          <w:color w:val="666666"/>
          <w:sz w:val="20"/>
          <w:szCs w:val="20"/>
        </w:rPr>
        <w:t xml:space="preserve"> 816,7 млрд. рублей. Увеличение обусловлено ростом активов,</w:t>
      </w:r>
      <w:r w:rsidR="007C433B">
        <w:rPr>
          <w:rFonts w:ascii="Tahoma" w:hAnsi="Tahoma" w:cs="Tahoma"/>
          <w:color w:val="666666"/>
          <w:sz w:val="20"/>
          <w:szCs w:val="20"/>
        </w:rPr>
        <w:t xml:space="preserve"> генерирующих процентные доходы</w:t>
      </w:r>
      <w:r w:rsidR="00C460F3">
        <w:rPr>
          <w:rFonts w:ascii="Tahoma" w:hAnsi="Tahoma" w:cs="Tahoma"/>
          <w:color w:val="666666"/>
          <w:sz w:val="20"/>
          <w:szCs w:val="20"/>
        </w:rPr>
        <w:t>,</w:t>
      </w:r>
      <w:r w:rsidR="007C433B">
        <w:rPr>
          <w:rFonts w:ascii="Tahoma" w:hAnsi="Tahoma" w:cs="Tahoma"/>
          <w:color w:val="666666"/>
          <w:sz w:val="20"/>
          <w:szCs w:val="20"/>
        </w:rPr>
        <w:t xml:space="preserve"> и ростом доли активов с 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7C433B">
        <w:rPr>
          <w:rFonts w:ascii="Tahoma" w:hAnsi="Tahoma" w:cs="Tahoma"/>
          <w:color w:val="666666"/>
          <w:sz w:val="20"/>
          <w:szCs w:val="20"/>
        </w:rPr>
        <w:t xml:space="preserve">высокой доходностью, </w:t>
      </w:r>
      <w:r>
        <w:rPr>
          <w:rFonts w:ascii="Tahoma" w:hAnsi="Tahoma" w:cs="Tahoma"/>
          <w:color w:val="666666"/>
          <w:sz w:val="20"/>
          <w:szCs w:val="20"/>
        </w:rPr>
        <w:t>преимущественно кредитов. По состоянию на 30 сентяб</w:t>
      </w:r>
      <w:r w:rsidR="00700D09">
        <w:rPr>
          <w:rFonts w:ascii="Tahoma" w:hAnsi="Tahoma" w:cs="Tahoma"/>
          <w:color w:val="666666"/>
          <w:sz w:val="20"/>
          <w:szCs w:val="20"/>
        </w:rPr>
        <w:t>ря 2012 года активы, генерирующие процентные доходы, составляли 91,2% от общей величины активов Группы.</w:t>
      </w:r>
      <w:r w:rsidR="00700D09" w:rsidRPr="00700D09">
        <w:rPr>
          <w:rStyle w:val="a3"/>
          <w:rFonts w:ascii="Tahoma" w:hAnsi="Tahoma" w:cs="Tahoma"/>
          <w:color w:val="666666"/>
          <w:sz w:val="20"/>
          <w:szCs w:val="20"/>
        </w:rPr>
        <w:t xml:space="preserve"> </w:t>
      </w:r>
      <w:r w:rsidR="00700D09" w:rsidRPr="00195664">
        <w:rPr>
          <w:rStyle w:val="a3"/>
          <w:rFonts w:ascii="Tahoma" w:hAnsi="Tahoma" w:cs="Tahoma"/>
          <w:b w:val="0"/>
          <w:color w:val="666666"/>
          <w:sz w:val="20"/>
          <w:szCs w:val="20"/>
        </w:rPr>
        <w:t>Процентны</w:t>
      </w:r>
      <w:r w:rsidR="00F4300E">
        <w:rPr>
          <w:rStyle w:val="a3"/>
          <w:rFonts w:ascii="Tahoma" w:hAnsi="Tahoma" w:cs="Tahoma"/>
          <w:b w:val="0"/>
          <w:color w:val="666666"/>
          <w:sz w:val="20"/>
          <w:szCs w:val="20"/>
        </w:rPr>
        <w:t>е</w:t>
      </w:r>
      <w:r w:rsidR="00700D09" w:rsidRPr="0019566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доход</w:t>
      </w:r>
      <w:r w:rsidR="00F4300E">
        <w:rPr>
          <w:rStyle w:val="a3"/>
          <w:rFonts w:ascii="Tahoma" w:hAnsi="Tahoma" w:cs="Tahoma"/>
          <w:b w:val="0"/>
          <w:color w:val="666666"/>
          <w:sz w:val="20"/>
          <w:szCs w:val="20"/>
        </w:rPr>
        <w:t>ы</w:t>
      </w:r>
      <w:r w:rsidR="00700D09" w:rsidRPr="00195664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D09" w:rsidRPr="00195664">
        <w:rPr>
          <w:rFonts w:ascii="Tahoma" w:hAnsi="Tahoma" w:cs="Tahoma"/>
          <w:color w:val="666666"/>
          <w:sz w:val="20"/>
          <w:szCs w:val="20"/>
        </w:rPr>
        <w:lastRenderedPageBreak/>
        <w:t>по</w:t>
      </w:r>
      <w:r w:rsidR="00700D09">
        <w:rPr>
          <w:rFonts w:ascii="Tahoma" w:hAnsi="Tahoma" w:cs="Tahoma"/>
          <w:color w:val="666666"/>
          <w:sz w:val="20"/>
          <w:szCs w:val="20"/>
        </w:rPr>
        <w:t xml:space="preserve"> кредитам </w:t>
      </w:r>
      <w:r w:rsidR="00DF302A">
        <w:rPr>
          <w:rFonts w:ascii="Tahoma" w:hAnsi="Tahoma" w:cs="Tahoma"/>
          <w:color w:val="666666"/>
          <w:sz w:val="20"/>
          <w:szCs w:val="20"/>
        </w:rPr>
        <w:t xml:space="preserve">клиентам </w:t>
      </w:r>
      <w:r w:rsidR="00700D09">
        <w:rPr>
          <w:rFonts w:ascii="Tahoma" w:hAnsi="Tahoma" w:cs="Tahoma"/>
          <w:color w:val="666666"/>
          <w:sz w:val="20"/>
          <w:szCs w:val="20"/>
        </w:rPr>
        <w:t>за девять месяцев 2012 года увеличил</w:t>
      </w:r>
      <w:r w:rsidR="00F4300E">
        <w:rPr>
          <w:rFonts w:ascii="Tahoma" w:hAnsi="Tahoma" w:cs="Tahoma"/>
          <w:color w:val="666666"/>
          <w:sz w:val="20"/>
          <w:szCs w:val="20"/>
        </w:rPr>
        <w:t>и</w:t>
      </w:r>
      <w:r w:rsidR="00700D09">
        <w:rPr>
          <w:rFonts w:ascii="Tahoma" w:hAnsi="Tahoma" w:cs="Tahoma"/>
          <w:color w:val="666666"/>
          <w:sz w:val="20"/>
          <w:szCs w:val="20"/>
        </w:rPr>
        <w:t>с</w:t>
      </w:r>
      <w:r w:rsidR="00F4300E">
        <w:rPr>
          <w:rFonts w:ascii="Tahoma" w:hAnsi="Tahoma" w:cs="Tahoma"/>
          <w:color w:val="666666"/>
          <w:sz w:val="20"/>
          <w:szCs w:val="20"/>
        </w:rPr>
        <w:t>ь</w:t>
      </w:r>
      <w:r w:rsidR="00700D09">
        <w:rPr>
          <w:rFonts w:ascii="Tahoma" w:hAnsi="Tahoma" w:cs="Tahoma"/>
          <w:color w:val="666666"/>
          <w:sz w:val="20"/>
          <w:szCs w:val="20"/>
        </w:rPr>
        <w:t xml:space="preserve"> на 37,6% по сравнению с аналогичным периодом 2011 года.</w:t>
      </w:r>
    </w:p>
    <w:p w:rsidR="00DF4D2B" w:rsidRPr="005C5E6A" w:rsidRDefault="005C5E6A" w:rsidP="00DF4D2B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Процентны</w:t>
      </w:r>
      <w:r w:rsidR="00F4300E">
        <w:rPr>
          <w:rStyle w:val="a3"/>
          <w:rFonts w:ascii="Tahoma" w:hAnsi="Tahoma" w:cs="Tahoma"/>
          <w:color w:val="666666"/>
          <w:sz w:val="20"/>
          <w:szCs w:val="20"/>
        </w:rPr>
        <w:t>е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расход</w:t>
      </w:r>
      <w:r w:rsidR="00F4300E">
        <w:rPr>
          <w:rStyle w:val="a3"/>
          <w:rFonts w:ascii="Tahoma" w:hAnsi="Tahoma" w:cs="Tahoma"/>
          <w:color w:val="666666"/>
          <w:sz w:val="20"/>
          <w:szCs w:val="20"/>
        </w:rPr>
        <w:t>ы</w:t>
      </w:r>
      <w:r>
        <w:rPr>
          <w:rFonts w:ascii="Tahoma" w:hAnsi="Tahoma" w:cs="Tahoma"/>
          <w:color w:val="666666"/>
          <w:sz w:val="20"/>
          <w:szCs w:val="20"/>
        </w:rPr>
        <w:t xml:space="preserve"> за девять месяцев 2012 года увеличил</w:t>
      </w:r>
      <w:r w:rsidR="00F4300E">
        <w:rPr>
          <w:rFonts w:ascii="Tahoma" w:hAnsi="Tahoma" w:cs="Tahoma"/>
          <w:color w:val="666666"/>
          <w:sz w:val="20"/>
          <w:szCs w:val="20"/>
        </w:rPr>
        <w:t>и</w:t>
      </w:r>
      <w:r>
        <w:rPr>
          <w:rFonts w:ascii="Tahoma" w:hAnsi="Tahoma" w:cs="Tahoma"/>
          <w:color w:val="666666"/>
          <w:sz w:val="20"/>
          <w:szCs w:val="20"/>
        </w:rPr>
        <w:t>с</w:t>
      </w:r>
      <w:r w:rsidR="00F4300E">
        <w:rPr>
          <w:rFonts w:ascii="Tahoma" w:hAnsi="Tahoma" w:cs="Tahoma"/>
          <w:color w:val="666666"/>
          <w:sz w:val="20"/>
          <w:szCs w:val="20"/>
        </w:rPr>
        <w:t>ь</w:t>
      </w:r>
      <w:r>
        <w:rPr>
          <w:rFonts w:ascii="Tahoma" w:hAnsi="Tahoma" w:cs="Tahoma"/>
          <w:color w:val="666666"/>
          <w:sz w:val="20"/>
          <w:szCs w:val="20"/>
        </w:rPr>
        <w:t xml:space="preserve"> на 46,8% по сравнению с аналогичным периодом 2011 года и составил</w:t>
      </w:r>
      <w:r w:rsidR="00F4300E">
        <w:rPr>
          <w:rFonts w:ascii="Tahoma" w:hAnsi="Tahoma" w:cs="Tahoma"/>
          <w:color w:val="666666"/>
          <w:sz w:val="20"/>
          <w:szCs w:val="20"/>
        </w:rPr>
        <w:t>и</w:t>
      </w:r>
      <w:r>
        <w:rPr>
          <w:rFonts w:ascii="Tahoma" w:hAnsi="Tahoma" w:cs="Tahoma"/>
          <w:color w:val="666666"/>
          <w:sz w:val="20"/>
          <w:szCs w:val="20"/>
        </w:rPr>
        <w:t xml:space="preserve"> 312,9 млрд. рублей. Основным компонентом процентн</w:t>
      </w:r>
      <w:r w:rsidR="00F4300E">
        <w:rPr>
          <w:rFonts w:ascii="Tahoma" w:hAnsi="Tahoma" w:cs="Tahoma"/>
          <w:color w:val="666666"/>
          <w:sz w:val="20"/>
          <w:szCs w:val="20"/>
        </w:rPr>
        <w:t>ых</w:t>
      </w:r>
      <w:r>
        <w:rPr>
          <w:rFonts w:ascii="Tahoma" w:hAnsi="Tahoma" w:cs="Tahoma"/>
          <w:color w:val="666666"/>
          <w:sz w:val="20"/>
          <w:szCs w:val="20"/>
        </w:rPr>
        <w:t xml:space="preserve"> расход</w:t>
      </w:r>
      <w:r w:rsidR="00F4300E">
        <w:rPr>
          <w:rFonts w:ascii="Tahoma" w:hAnsi="Tahoma" w:cs="Tahoma"/>
          <w:color w:val="666666"/>
          <w:sz w:val="20"/>
          <w:szCs w:val="20"/>
        </w:rPr>
        <w:t>ов</w:t>
      </w:r>
      <w:r>
        <w:rPr>
          <w:rFonts w:ascii="Tahoma" w:hAnsi="Tahoma" w:cs="Tahoma"/>
          <w:color w:val="666666"/>
          <w:sz w:val="20"/>
          <w:szCs w:val="20"/>
        </w:rPr>
        <w:t xml:space="preserve"> стал</w:t>
      </w:r>
      <w:r w:rsidR="00F4300E">
        <w:rPr>
          <w:rFonts w:ascii="Tahoma" w:hAnsi="Tahoma" w:cs="Tahoma"/>
          <w:color w:val="666666"/>
          <w:sz w:val="20"/>
          <w:szCs w:val="20"/>
        </w:rPr>
        <w:t>и</w:t>
      </w:r>
      <w:r>
        <w:rPr>
          <w:rFonts w:ascii="Tahoma" w:hAnsi="Tahoma" w:cs="Tahoma"/>
          <w:color w:val="666666"/>
          <w:sz w:val="20"/>
          <w:szCs w:val="20"/>
        </w:rPr>
        <w:t xml:space="preserve"> процент</w:t>
      </w:r>
      <w:r w:rsidR="00C460F3">
        <w:rPr>
          <w:rFonts w:ascii="Tahoma" w:hAnsi="Tahoma" w:cs="Tahoma"/>
          <w:color w:val="666666"/>
          <w:sz w:val="20"/>
          <w:szCs w:val="20"/>
        </w:rPr>
        <w:t>ны</w:t>
      </w:r>
      <w:r w:rsidR="00F4300E">
        <w:rPr>
          <w:rFonts w:ascii="Tahoma" w:hAnsi="Tahoma" w:cs="Tahoma"/>
          <w:color w:val="666666"/>
          <w:sz w:val="20"/>
          <w:szCs w:val="20"/>
        </w:rPr>
        <w:t>е</w:t>
      </w:r>
      <w:r w:rsidR="00C460F3">
        <w:rPr>
          <w:rFonts w:ascii="Tahoma" w:hAnsi="Tahoma" w:cs="Tahoma"/>
          <w:color w:val="666666"/>
          <w:sz w:val="20"/>
          <w:szCs w:val="20"/>
        </w:rPr>
        <w:t xml:space="preserve"> расход</w:t>
      </w:r>
      <w:r w:rsidR="00F4300E">
        <w:rPr>
          <w:rFonts w:ascii="Tahoma" w:hAnsi="Tahoma" w:cs="Tahoma"/>
          <w:color w:val="666666"/>
          <w:sz w:val="20"/>
          <w:szCs w:val="20"/>
        </w:rPr>
        <w:t>ы</w:t>
      </w:r>
      <w:r>
        <w:rPr>
          <w:rFonts w:ascii="Tahoma" w:hAnsi="Tahoma" w:cs="Tahoma"/>
          <w:color w:val="666666"/>
          <w:sz w:val="20"/>
          <w:szCs w:val="20"/>
        </w:rPr>
        <w:t xml:space="preserve"> по депозитам физических лиц, которые являются ключевым источником финансирования Группы. Стоимость привлечения сре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дств кл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>иентов росла в течение девяти месяцев 2012 года вследствие роста процентных ставок на рынке.</w:t>
      </w:r>
      <w:r w:rsidR="002B3B9F" w:rsidRPr="005C5E6A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Другим</w:t>
      </w:r>
      <w:r w:rsidRPr="005C5E6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646F7">
        <w:rPr>
          <w:rFonts w:ascii="Tahoma" w:hAnsi="Tahoma" w:cs="Tahoma"/>
          <w:color w:val="666666"/>
          <w:sz w:val="20"/>
          <w:szCs w:val="20"/>
        </w:rPr>
        <w:t>источником</w:t>
      </w:r>
      <w:r w:rsidRPr="005C5E6A">
        <w:rPr>
          <w:rFonts w:ascii="Tahoma" w:hAnsi="Tahoma" w:cs="Tahoma"/>
          <w:color w:val="666666"/>
          <w:sz w:val="20"/>
          <w:szCs w:val="20"/>
        </w:rPr>
        <w:t xml:space="preserve">, </w:t>
      </w:r>
      <w:r>
        <w:rPr>
          <w:rFonts w:ascii="Tahoma" w:hAnsi="Tahoma" w:cs="Tahoma"/>
          <w:color w:val="666666"/>
          <w:sz w:val="20"/>
          <w:szCs w:val="20"/>
        </w:rPr>
        <w:t>вызвавшим</w:t>
      </w:r>
      <w:r w:rsidRPr="005C5E6A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C0B8A">
        <w:rPr>
          <w:rFonts w:ascii="Tahoma" w:hAnsi="Tahoma" w:cs="Tahoma"/>
          <w:color w:val="666666"/>
          <w:sz w:val="20"/>
          <w:szCs w:val="20"/>
        </w:rPr>
        <w:t>увеличение</w:t>
      </w:r>
      <w:r w:rsidRPr="005C5E6A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процентн</w:t>
      </w:r>
      <w:r w:rsidR="00F4300E">
        <w:rPr>
          <w:rFonts w:ascii="Tahoma" w:hAnsi="Tahoma" w:cs="Tahoma"/>
          <w:color w:val="666666"/>
          <w:sz w:val="20"/>
          <w:szCs w:val="20"/>
        </w:rPr>
        <w:t>ых</w:t>
      </w:r>
      <w:r>
        <w:rPr>
          <w:rFonts w:ascii="Tahoma" w:hAnsi="Tahoma" w:cs="Tahoma"/>
          <w:color w:val="666666"/>
          <w:sz w:val="20"/>
          <w:szCs w:val="20"/>
        </w:rPr>
        <w:t xml:space="preserve"> расход</w:t>
      </w:r>
      <w:r w:rsidR="00F4300E">
        <w:rPr>
          <w:rFonts w:ascii="Tahoma" w:hAnsi="Tahoma" w:cs="Tahoma"/>
          <w:color w:val="666666"/>
          <w:sz w:val="20"/>
          <w:szCs w:val="20"/>
        </w:rPr>
        <w:t>ов</w:t>
      </w:r>
      <w:r>
        <w:rPr>
          <w:rFonts w:ascii="Tahoma" w:hAnsi="Tahoma" w:cs="Tahoma"/>
          <w:color w:val="666666"/>
          <w:sz w:val="20"/>
          <w:szCs w:val="20"/>
        </w:rPr>
        <w:t xml:space="preserve">, является </w:t>
      </w:r>
      <w:r w:rsidR="007C0B8A">
        <w:rPr>
          <w:rFonts w:ascii="Tahoma" w:hAnsi="Tahoma" w:cs="Tahoma"/>
          <w:color w:val="666666"/>
          <w:sz w:val="20"/>
          <w:szCs w:val="20"/>
        </w:rPr>
        <w:t>рост</w:t>
      </w:r>
      <w:r>
        <w:rPr>
          <w:rFonts w:ascii="Tahoma" w:hAnsi="Tahoma" w:cs="Tahoma"/>
          <w:color w:val="666666"/>
          <w:sz w:val="20"/>
          <w:szCs w:val="20"/>
        </w:rPr>
        <w:t xml:space="preserve"> суммы привлеченных межбанковских кредитов.</w:t>
      </w:r>
    </w:p>
    <w:p w:rsidR="007C0B8A" w:rsidRDefault="007C0B8A" w:rsidP="007C0B8A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Чисты</w:t>
      </w:r>
      <w:r w:rsidR="00225636">
        <w:rPr>
          <w:rStyle w:val="a3"/>
          <w:rFonts w:ascii="Tahoma" w:hAnsi="Tahoma" w:cs="Tahoma"/>
          <w:color w:val="666666"/>
          <w:sz w:val="20"/>
          <w:szCs w:val="20"/>
        </w:rPr>
        <w:t>е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процентны</w:t>
      </w:r>
      <w:r w:rsidR="00225636">
        <w:rPr>
          <w:rStyle w:val="a3"/>
          <w:rFonts w:ascii="Tahoma" w:hAnsi="Tahoma" w:cs="Tahoma"/>
          <w:color w:val="666666"/>
          <w:sz w:val="20"/>
          <w:szCs w:val="20"/>
        </w:rPr>
        <w:t>е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доход</w:t>
      </w:r>
      <w:r w:rsidR="00225636">
        <w:rPr>
          <w:rStyle w:val="a3"/>
          <w:rFonts w:ascii="Tahoma" w:hAnsi="Tahoma" w:cs="Tahoma"/>
          <w:color w:val="666666"/>
          <w:sz w:val="20"/>
          <w:szCs w:val="20"/>
        </w:rPr>
        <w:t>ы</w:t>
      </w:r>
      <w:r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6632F6">
        <w:rPr>
          <w:rFonts w:ascii="Tahoma" w:hAnsi="Tahoma" w:cs="Tahoma"/>
          <w:color w:val="666666"/>
          <w:sz w:val="20"/>
          <w:szCs w:val="20"/>
        </w:rPr>
        <w:t>девять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6632F6">
        <w:rPr>
          <w:rFonts w:ascii="Tahoma" w:hAnsi="Tahoma" w:cs="Tahoma"/>
          <w:color w:val="666666"/>
          <w:sz w:val="20"/>
          <w:szCs w:val="20"/>
        </w:rPr>
        <w:t>месяцев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вырос</w:t>
      </w:r>
      <w:r w:rsidR="00225636">
        <w:rPr>
          <w:rFonts w:ascii="Tahoma" w:hAnsi="Tahoma" w:cs="Tahoma"/>
          <w:color w:val="666666"/>
          <w:sz w:val="20"/>
          <w:szCs w:val="20"/>
        </w:rPr>
        <w:t>ли</w:t>
      </w:r>
      <w:r>
        <w:rPr>
          <w:rFonts w:ascii="Tahoma" w:hAnsi="Tahoma" w:cs="Tahoma"/>
          <w:color w:val="666666"/>
          <w:sz w:val="20"/>
          <w:szCs w:val="20"/>
        </w:rPr>
        <w:t xml:space="preserve"> на 25,</w:t>
      </w:r>
      <w:r w:rsidR="006632F6">
        <w:rPr>
          <w:rFonts w:ascii="Tahoma" w:hAnsi="Tahoma" w:cs="Tahoma"/>
          <w:color w:val="666666"/>
          <w:sz w:val="20"/>
          <w:szCs w:val="20"/>
        </w:rPr>
        <w:t>3</w:t>
      </w:r>
      <w:r>
        <w:rPr>
          <w:rFonts w:ascii="Tahoma" w:hAnsi="Tahoma" w:cs="Tahoma"/>
          <w:color w:val="666666"/>
          <w:sz w:val="20"/>
          <w:szCs w:val="20"/>
        </w:rPr>
        <w:t xml:space="preserve">% по сравнению с </w:t>
      </w:r>
      <w:r w:rsidR="006632F6">
        <w:rPr>
          <w:rFonts w:ascii="Tahoma" w:hAnsi="Tahoma" w:cs="Tahoma"/>
          <w:color w:val="666666"/>
          <w:sz w:val="20"/>
          <w:szCs w:val="20"/>
        </w:rPr>
        <w:t>девятью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6632F6">
        <w:rPr>
          <w:rFonts w:ascii="Tahoma" w:hAnsi="Tahoma" w:cs="Tahoma"/>
          <w:color w:val="666666"/>
          <w:sz w:val="20"/>
          <w:szCs w:val="20"/>
        </w:rPr>
        <w:t>месяцами</w:t>
      </w:r>
      <w:r>
        <w:rPr>
          <w:rFonts w:ascii="Tahoma" w:hAnsi="Tahoma" w:cs="Tahoma"/>
          <w:color w:val="666666"/>
          <w:sz w:val="20"/>
          <w:szCs w:val="20"/>
        </w:rPr>
        <w:t xml:space="preserve"> 2011 года и составил</w:t>
      </w:r>
      <w:r w:rsidR="00225636">
        <w:rPr>
          <w:rFonts w:ascii="Tahoma" w:hAnsi="Tahoma" w:cs="Tahoma"/>
          <w:color w:val="666666"/>
          <w:sz w:val="20"/>
          <w:szCs w:val="20"/>
        </w:rPr>
        <w:t>и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6632F6">
        <w:rPr>
          <w:rFonts w:ascii="Tahoma" w:hAnsi="Tahoma" w:cs="Tahoma"/>
          <w:color w:val="666666"/>
          <w:sz w:val="20"/>
          <w:szCs w:val="20"/>
        </w:rPr>
        <w:t>503</w:t>
      </w:r>
      <w:r>
        <w:rPr>
          <w:rFonts w:ascii="Tahoma" w:hAnsi="Tahoma" w:cs="Tahoma"/>
          <w:color w:val="666666"/>
          <w:sz w:val="20"/>
          <w:szCs w:val="20"/>
        </w:rPr>
        <w:t>,</w:t>
      </w:r>
      <w:r w:rsidR="006632F6">
        <w:rPr>
          <w:rFonts w:ascii="Tahoma" w:hAnsi="Tahoma" w:cs="Tahoma"/>
          <w:color w:val="666666"/>
          <w:sz w:val="20"/>
          <w:szCs w:val="20"/>
        </w:rPr>
        <w:t>8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рублей. Чисты</w:t>
      </w:r>
      <w:r w:rsidR="00225636">
        <w:rPr>
          <w:rFonts w:ascii="Tahoma" w:hAnsi="Tahoma" w:cs="Tahoma"/>
          <w:color w:val="666666"/>
          <w:sz w:val="20"/>
          <w:szCs w:val="20"/>
        </w:rPr>
        <w:t>е</w:t>
      </w:r>
      <w:r>
        <w:rPr>
          <w:rFonts w:ascii="Tahoma" w:hAnsi="Tahoma" w:cs="Tahoma"/>
          <w:color w:val="666666"/>
          <w:sz w:val="20"/>
          <w:szCs w:val="20"/>
        </w:rPr>
        <w:t xml:space="preserve"> процентны</w:t>
      </w:r>
      <w:r w:rsidR="00225636">
        <w:rPr>
          <w:rFonts w:ascii="Tahoma" w:hAnsi="Tahoma" w:cs="Tahoma"/>
          <w:color w:val="666666"/>
          <w:sz w:val="20"/>
          <w:szCs w:val="20"/>
        </w:rPr>
        <w:t>е</w:t>
      </w:r>
      <w:r>
        <w:rPr>
          <w:rFonts w:ascii="Tahoma" w:hAnsi="Tahoma" w:cs="Tahoma"/>
          <w:color w:val="666666"/>
          <w:sz w:val="20"/>
          <w:szCs w:val="20"/>
        </w:rPr>
        <w:t xml:space="preserve"> доход</w:t>
      </w:r>
      <w:r w:rsidR="00225636">
        <w:rPr>
          <w:rFonts w:ascii="Tahoma" w:hAnsi="Tahoma" w:cs="Tahoma"/>
          <w:color w:val="666666"/>
          <w:sz w:val="20"/>
          <w:szCs w:val="20"/>
        </w:rPr>
        <w:t>ы</w:t>
      </w:r>
      <w:r>
        <w:rPr>
          <w:rFonts w:ascii="Tahoma" w:hAnsi="Tahoma" w:cs="Tahoma"/>
          <w:color w:val="666666"/>
          <w:sz w:val="20"/>
          <w:szCs w:val="20"/>
        </w:rPr>
        <w:t xml:space="preserve"> оста</w:t>
      </w:r>
      <w:r w:rsidR="00225636">
        <w:rPr>
          <w:rFonts w:ascii="Tahoma" w:hAnsi="Tahoma" w:cs="Tahoma"/>
          <w:color w:val="666666"/>
          <w:sz w:val="20"/>
          <w:szCs w:val="20"/>
        </w:rPr>
        <w:t>ю</w:t>
      </w:r>
      <w:r>
        <w:rPr>
          <w:rFonts w:ascii="Tahoma" w:hAnsi="Tahoma" w:cs="Tahoma"/>
          <w:color w:val="666666"/>
          <w:sz w:val="20"/>
          <w:szCs w:val="20"/>
        </w:rPr>
        <w:t>тся основным компонентом операционн</w:t>
      </w:r>
      <w:r w:rsidR="00225636">
        <w:rPr>
          <w:rFonts w:ascii="Tahoma" w:hAnsi="Tahoma" w:cs="Tahoma"/>
          <w:color w:val="666666"/>
          <w:sz w:val="20"/>
          <w:szCs w:val="20"/>
        </w:rPr>
        <w:t>ых</w:t>
      </w:r>
      <w:r>
        <w:rPr>
          <w:rFonts w:ascii="Tahoma" w:hAnsi="Tahoma" w:cs="Tahoma"/>
          <w:color w:val="666666"/>
          <w:sz w:val="20"/>
          <w:szCs w:val="20"/>
        </w:rPr>
        <w:t xml:space="preserve"> доход</w:t>
      </w:r>
      <w:r w:rsidR="00225636">
        <w:rPr>
          <w:rFonts w:ascii="Tahoma" w:hAnsi="Tahoma" w:cs="Tahoma"/>
          <w:color w:val="666666"/>
          <w:sz w:val="20"/>
          <w:szCs w:val="20"/>
        </w:rPr>
        <w:t>ов</w:t>
      </w:r>
      <w:r>
        <w:rPr>
          <w:rFonts w:ascii="Tahoma" w:hAnsi="Tahoma" w:cs="Tahoma"/>
          <w:color w:val="666666"/>
          <w:sz w:val="20"/>
          <w:szCs w:val="20"/>
        </w:rPr>
        <w:t xml:space="preserve"> Группы, составляя 75,</w:t>
      </w:r>
      <w:r w:rsidR="006632F6">
        <w:rPr>
          <w:rFonts w:ascii="Tahoma" w:hAnsi="Tahoma" w:cs="Tahoma"/>
          <w:color w:val="666666"/>
          <w:sz w:val="20"/>
          <w:szCs w:val="20"/>
        </w:rPr>
        <w:t>7</w:t>
      </w:r>
      <w:r>
        <w:rPr>
          <w:rFonts w:ascii="Tahoma" w:hAnsi="Tahoma" w:cs="Tahoma"/>
          <w:color w:val="666666"/>
          <w:sz w:val="20"/>
          <w:szCs w:val="20"/>
        </w:rPr>
        <w:t>% общ</w:t>
      </w:r>
      <w:r w:rsidR="00225636">
        <w:rPr>
          <w:rFonts w:ascii="Tahoma" w:hAnsi="Tahoma" w:cs="Tahoma"/>
          <w:color w:val="666666"/>
          <w:sz w:val="20"/>
          <w:szCs w:val="20"/>
        </w:rPr>
        <w:t>их</w:t>
      </w:r>
      <w:r>
        <w:rPr>
          <w:rFonts w:ascii="Tahoma" w:hAnsi="Tahoma" w:cs="Tahoma"/>
          <w:color w:val="666666"/>
          <w:sz w:val="20"/>
          <w:szCs w:val="20"/>
        </w:rPr>
        <w:t xml:space="preserve"> операцион</w:t>
      </w:r>
      <w:r w:rsidR="007646F7">
        <w:rPr>
          <w:rFonts w:ascii="Tahoma" w:hAnsi="Tahoma" w:cs="Tahoma"/>
          <w:color w:val="666666"/>
          <w:sz w:val="20"/>
          <w:szCs w:val="20"/>
        </w:rPr>
        <w:t>н</w:t>
      </w:r>
      <w:r w:rsidR="00225636">
        <w:rPr>
          <w:rFonts w:ascii="Tahoma" w:hAnsi="Tahoma" w:cs="Tahoma"/>
          <w:color w:val="666666"/>
          <w:sz w:val="20"/>
          <w:szCs w:val="20"/>
        </w:rPr>
        <w:t>ых</w:t>
      </w:r>
      <w:r>
        <w:rPr>
          <w:rFonts w:ascii="Tahoma" w:hAnsi="Tahoma" w:cs="Tahoma"/>
          <w:color w:val="666666"/>
          <w:sz w:val="20"/>
          <w:szCs w:val="20"/>
        </w:rPr>
        <w:t xml:space="preserve"> доход</w:t>
      </w:r>
      <w:r w:rsidR="00225636">
        <w:rPr>
          <w:rFonts w:ascii="Tahoma" w:hAnsi="Tahoma" w:cs="Tahoma"/>
          <w:color w:val="666666"/>
          <w:sz w:val="20"/>
          <w:szCs w:val="20"/>
        </w:rPr>
        <w:t>ов</w:t>
      </w:r>
      <w:r>
        <w:rPr>
          <w:rFonts w:ascii="Tahoma" w:hAnsi="Tahoma" w:cs="Tahoma"/>
          <w:color w:val="666666"/>
          <w:sz w:val="20"/>
          <w:szCs w:val="20"/>
        </w:rPr>
        <w:t xml:space="preserve"> до формирования резервов под обесценение кредитного портфеля.</w:t>
      </w:r>
      <w:r w:rsidRPr="00BD6B68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012985" w:rsidRPr="009A6C41" w:rsidRDefault="00017B37" w:rsidP="00017B37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017B37">
        <w:rPr>
          <w:rFonts w:ascii="Tahoma" w:hAnsi="Tahoma" w:cs="Tahoma"/>
          <w:b/>
          <w:color w:val="666666"/>
          <w:sz w:val="20"/>
          <w:szCs w:val="20"/>
        </w:rPr>
        <w:t>Чисты</w:t>
      </w:r>
      <w:r w:rsidR="00D4404C">
        <w:rPr>
          <w:rFonts w:ascii="Tahoma" w:hAnsi="Tahoma" w:cs="Tahoma"/>
          <w:b/>
          <w:color w:val="666666"/>
          <w:sz w:val="20"/>
          <w:szCs w:val="20"/>
        </w:rPr>
        <w:t>е</w:t>
      </w:r>
      <w:r w:rsidRPr="00017B37">
        <w:rPr>
          <w:rFonts w:ascii="Tahoma" w:hAnsi="Tahoma" w:cs="Tahoma"/>
          <w:b/>
          <w:color w:val="666666"/>
          <w:sz w:val="20"/>
          <w:szCs w:val="20"/>
        </w:rPr>
        <w:t xml:space="preserve"> комиссионны</w:t>
      </w:r>
      <w:r w:rsidR="00D4404C">
        <w:rPr>
          <w:rFonts w:ascii="Tahoma" w:hAnsi="Tahoma" w:cs="Tahoma"/>
          <w:b/>
          <w:color w:val="666666"/>
          <w:sz w:val="20"/>
          <w:szCs w:val="20"/>
        </w:rPr>
        <w:t>е</w:t>
      </w:r>
      <w:r w:rsidRPr="00017B37">
        <w:rPr>
          <w:rFonts w:ascii="Tahoma" w:hAnsi="Tahoma" w:cs="Tahoma"/>
          <w:b/>
          <w:color w:val="666666"/>
          <w:sz w:val="20"/>
          <w:szCs w:val="20"/>
        </w:rPr>
        <w:t xml:space="preserve"> доход</w:t>
      </w:r>
      <w:r w:rsidR="00D4404C">
        <w:rPr>
          <w:rFonts w:ascii="Tahoma" w:hAnsi="Tahoma" w:cs="Tahoma"/>
          <w:b/>
          <w:color w:val="666666"/>
          <w:sz w:val="20"/>
          <w:szCs w:val="20"/>
        </w:rPr>
        <w:t>ы</w:t>
      </w:r>
      <w:r w:rsidRPr="00017B37">
        <w:rPr>
          <w:rFonts w:ascii="Tahoma" w:hAnsi="Tahoma" w:cs="Tahoma"/>
          <w:color w:val="666666"/>
          <w:sz w:val="20"/>
          <w:szCs w:val="20"/>
        </w:rPr>
        <w:t xml:space="preserve"> Группы за девять месяцев 2012 года составил</w:t>
      </w:r>
      <w:r w:rsidR="00D4404C">
        <w:rPr>
          <w:rFonts w:ascii="Tahoma" w:hAnsi="Tahoma" w:cs="Tahoma"/>
          <w:color w:val="666666"/>
          <w:sz w:val="20"/>
          <w:szCs w:val="20"/>
        </w:rPr>
        <w:t>и</w:t>
      </w:r>
      <w:r w:rsidRPr="00017B37">
        <w:rPr>
          <w:rFonts w:ascii="Tahoma" w:hAnsi="Tahoma" w:cs="Tahoma"/>
          <w:color w:val="666666"/>
          <w:sz w:val="20"/>
          <w:szCs w:val="20"/>
        </w:rPr>
        <w:t xml:space="preserve"> 120,1 млрд. рублей, показав рост на 20,2% по сравнению с аналогичным периодом 2011 года. </w:t>
      </w:r>
      <w:r w:rsidR="002244C7" w:rsidRPr="009A6C41">
        <w:rPr>
          <w:rFonts w:ascii="Tahoma" w:hAnsi="Tahoma" w:cs="Tahoma"/>
          <w:color w:val="666666"/>
          <w:sz w:val="20"/>
          <w:szCs w:val="20"/>
        </w:rPr>
        <w:t xml:space="preserve">Комиссионные доходы от операций с </w:t>
      </w:r>
      <w:r w:rsidR="00D4404C">
        <w:rPr>
          <w:rFonts w:ascii="Tahoma" w:hAnsi="Tahoma" w:cs="Tahoma"/>
          <w:color w:val="666666"/>
          <w:sz w:val="20"/>
          <w:szCs w:val="20"/>
        </w:rPr>
        <w:t>банковскими</w:t>
      </w:r>
      <w:r w:rsidR="002244C7" w:rsidRPr="009A6C41">
        <w:rPr>
          <w:rFonts w:ascii="Tahoma" w:hAnsi="Tahoma" w:cs="Tahoma"/>
          <w:color w:val="666666"/>
          <w:sz w:val="20"/>
          <w:szCs w:val="20"/>
        </w:rPr>
        <w:t xml:space="preserve"> картами выросли за девять месяцев 2012 года на 50,9% по сравнению с аналогичным периодом 2011 года и стали основным источником роста комиссионных доходов.</w:t>
      </w:r>
    </w:p>
    <w:p w:rsidR="005F2AB2" w:rsidRDefault="005F2AB2" w:rsidP="005F2AB2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>Прочие операционные доходы</w:t>
      </w:r>
      <w:r>
        <w:rPr>
          <w:rFonts w:ascii="Tahoma" w:hAnsi="Tahoma" w:cs="Tahoma"/>
          <w:color w:val="666666"/>
          <w:sz w:val="20"/>
          <w:szCs w:val="20"/>
        </w:rPr>
        <w:t>, которые включают чистые доходы от операций с ценными бумагами, иностранной валютой, производными финансовыми инструментами и драгоценными металлами и другие статьи, составили 6,3% операционных доходов Группы до резервов под обесценение кредитного портфеля. В целом объем доходов по этим статьям увеличился на 5,8% с 39,4 млрд. рублей за девять месяцев 2011 года до 41,7 млрд. рублей за девять месяцев 2012 года.</w:t>
      </w:r>
    </w:p>
    <w:p w:rsidR="00076F16" w:rsidRDefault="002915B6" w:rsidP="00076F16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Операционные доходы до резервов под обесценение кредитного портфеля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за девять месяцев 2012 года </w:t>
      </w:r>
      <w:r w:rsidR="002244C7" w:rsidRPr="002915B6">
        <w:rPr>
          <w:rFonts w:ascii="Tahoma" w:hAnsi="Tahoma" w:cs="Tahoma"/>
          <w:color w:val="666666"/>
          <w:sz w:val="20"/>
          <w:szCs w:val="20"/>
        </w:rPr>
        <w:t>составили 665,6 млрд. руб., показав рост в 23,0% по сравнению с аналогичным периодом 2011 года (541,3 млрд. руб.).</w:t>
      </w:r>
      <w:r w:rsidR="00076F16">
        <w:rPr>
          <w:rFonts w:ascii="Tahoma" w:hAnsi="Tahoma" w:cs="Tahoma"/>
          <w:color w:val="666666"/>
          <w:sz w:val="20"/>
          <w:szCs w:val="20"/>
        </w:rPr>
        <w:t xml:space="preserve"> Рост операционных доходов, в первую очередь, вызван увеличением его основных компонентов, составляющих 93,7% от  общей величины операционных доходов, а именно чистого процентного и чистого комиссионного доходов.</w:t>
      </w:r>
    </w:p>
    <w:p w:rsidR="00076F16" w:rsidRDefault="00076F16" w:rsidP="00DF4D2B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Чистые расходы от создания резервов под обесценение кредитного портфеля </w:t>
      </w:r>
      <w:r>
        <w:rPr>
          <w:rFonts w:ascii="Tahoma" w:hAnsi="Tahoma" w:cs="Tahoma"/>
          <w:color w:val="666666"/>
          <w:sz w:val="20"/>
          <w:szCs w:val="20"/>
        </w:rPr>
        <w:t>за девять месяцев 2012 года составили 10,6 млрд. рублей в сравнении с доходами от восстановления резервов под обесценение кредитного портфеля 16,8 млрд. рублей за 9 месяцев 2011 года, что обусловлено ростом кредитного портфеля.</w:t>
      </w:r>
    </w:p>
    <w:p w:rsidR="00925C2E" w:rsidRDefault="00925C2E" w:rsidP="00925C2E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Операционные расходы </w:t>
      </w:r>
      <w:r>
        <w:rPr>
          <w:rFonts w:ascii="Tahoma" w:hAnsi="Tahoma" w:cs="Tahoma"/>
          <w:color w:val="666666"/>
          <w:sz w:val="20"/>
          <w:szCs w:val="20"/>
        </w:rPr>
        <w:t>Группы выросли на 31,4% в сравнени</w:t>
      </w:r>
      <w:r w:rsidR="007646F7">
        <w:rPr>
          <w:rFonts w:ascii="Tahoma" w:hAnsi="Tahoma" w:cs="Tahoma"/>
          <w:color w:val="666666"/>
          <w:sz w:val="20"/>
          <w:szCs w:val="20"/>
        </w:rPr>
        <w:t>и</w:t>
      </w:r>
      <w:r>
        <w:rPr>
          <w:rFonts w:ascii="Tahoma" w:hAnsi="Tahoma" w:cs="Tahoma"/>
          <w:color w:val="666666"/>
          <w:sz w:val="20"/>
          <w:szCs w:val="20"/>
        </w:rPr>
        <w:t xml:space="preserve"> с девятью месяцами 2011 года и составили 314,6 млрд. рублей. Основны</w:t>
      </w:r>
      <w:r w:rsidR="00DC2D4B">
        <w:rPr>
          <w:rFonts w:ascii="Tahoma" w:hAnsi="Tahoma" w:cs="Tahoma"/>
          <w:color w:val="666666"/>
          <w:sz w:val="20"/>
          <w:szCs w:val="20"/>
        </w:rPr>
        <w:t xml:space="preserve">ми источниками роста расходов за 9 месяцев </w:t>
      </w:r>
      <w:r>
        <w:rPr>
          <w:rFonts w:ascii="Tahoma" w:hAnsi="Tahoma" w:cs="Tahoma"/>
          <w:color w:val="666666"/>
          <w:sz w:val="20"/>
          <w:szCs w:val="20"/>
        </w:rPr>
        <w:t>2012 года был</w:t>
      </w:r>
      <w:r w:rsidR="009A6C41">
        <w:rPr>
          <w:rFonts w:ascii="Tahoma" w:hAnsi="Tahoma" w:cs="Tahoma"/>
          <w:color w:val="666666"/>
          <w:sz w:val="20"/>
          <w:szCs w:val="20"/>
        </w:rPr>
        <w:t xml:space="preserve">о продолжение </w:t>
      </w:r>
      <w:r>
        <w:rPr>
          <w:rFonts w:ascii="Tahoma" w:hAnsi="Tahoma" w:cs="Tahoma"/>
          <w:color w:val="666666"/>
          <w:sz w:val="20"/>
          <w:szCs w:val="20"/>
        </w:rPr>
        <w:t>инвести</w:t>
      </w:r>
      <w:r w:rsidR="009A6C41">
        <w:rPr>
          <w:rFonts w:ascii="Tahoma" w:hAnsi="Tahoma" w:cs="Tahoma"/>
          <w:color w:val="666666"/>
          <w:sz w:val="20"/>
          <w:szCs w:val="20"/>
        </w:rPr>
        <w:t>рования</w:t>
      </w:r>
      <w:r>
        <w:rPr>
          <w:rFonts w:ascii="Tahoma" w:hAnsi="Tahoma" w:cs="Tahoma"/>
          <w:color w:val="666666"/>
          <w:sz w:val="20"/>
          <w:szCs w:val="20"/>
        </w:rPr>
        <w:t xml:space="preserve"> в </w:t>
      </w:r>
      <w:r w:rsidR="009A6C41">
        <w:rPr>
          <w:rFonts w:ascii="Tahoma" w:hAnsi="Tahoma" w:cs="Tahoma"/>
          <w:color w:val="666666"/>
          <w:sz w:val="20"/>
          <w:szCs w:val="20"/>
        </w:rPr>
        <w:t>развитие</w:t>
      </w:r>
      <w:r>
        <w:rPr>
          <w:rFonts w:ascii="Tahoma" w:hAnsi="Tahoma" w:cs="Tahoma"/>
          <w:color w:val="666666"/>
          <w:sz w:val="20"/>
          <w:szCs w:val="20"/>
        </w:rPr>
        <w:t xml:space="preserve"> персонала, 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ИТ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 xml:space="preserve"> инфраструктуру и филиальную сеть в соответствии со стратегией Группы. Рост </w:t>
      </w:r>
      <w:r w:rsidR="00DC2D4B">
        <w:rPr>
          <w:rFonts w:ascii="Tahoma" w:hAnsi="Tahoma" w:cs="Tahoma"/>
          <w:color w:val="666666"/>
          <w:sz w:val="20"/>
          <w:szCs w:val="20"/>
        </w:rPr>
        <w:t xml:space="preserve">расходов на содержание персонала и прочих </w:t>
      </w:r>
      <w:r>
        <w:rPr>
          <w:rFonts w:ascii="Tahoma" w:hAnsi="Tahoma" w:cs="Tahoma"/>
          <w:color w:val="666666"/>
          <w:sz w:val="20"/>
          <w:szCs w:val="20"/>
        </w:rPr>
        <w:t xml:space="preserve">операционных </w:t>
      </w:r>
      <w:r w:rsidR="00DC2D4B">
        <w:rPr>
          <w:rFonts w:ascii="Tahoma" w:hAnsi="Tahoma" w:cs="Tahoma"/>
          <w:color w:val="666666"/>
          <w:sz w:val="20"/>
          <w:szCs w:val="20"/>
        </w:rPr>
        <w:t>рас</w:t>
      </w:r>
      <w:r>
        <w:rPr>
          <w:rFonts w:ascii="Tahoma" w:hAnsi="Tahoma" w:cs="Tahoma"/>
          <w:color w:val="666666"/>
          <w:sz w:val="20"/>
          <w:szCs w:val="20"/>
        </w:rPr>
        <w:t xml:space="preserve">ходов был также вызван </w:t>
      </w:r>
      <w:r w:rsidR="00DC2D4B">
        <w:rPr>
          <w:rFonts w:ascii="Tahoma" w:hAnsi="Tahoma" w:cs="Tahoma"/>
          <w:color w:val="666666"/>
          <w:sz w:val="20"/>
          <w:szCs w:val="20"/>
        </w:rPr>
        <w:t xml:space="preserve">приобретением Тройки Диалог и </w:t>
      </w:r>
      <w:r w:rsidR="00942C55" w:rsidRPr="0025712E">
        <w:rPr>
          <w:rFonts w:ascii="Tahoma" w:hAnsi="Tahoma" w:cs="Tahoma"/>
          <w:color w:val="666666"/>
          <w:sz w:val="20"/>
          <w:szCs w:val="20"/>
          <w:lang w:val="en-US"/>
        </w:rPr>
        <w:t>Sberbank</w:t>
      </w:r>
      <w:r w:rsidR="00942C55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42C55" w:rsidRPr="0025712E">
        <w:rPr>
          <w:rFonts w:ascii="Tahoma" w:hAnsi="Tahoma" w:cs="Tahoma"/>
          <w:color w:val="666666"/>
          <w:sz w:val="20"/>
          <w:szCs w:val="20"/>
          <w:lang w:val="en-US"/>
        </w:rPr>
        <w:t>Europe</w:t>
      </w:r>
      <w:r w:rsidR="00942C55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42C55" w:rsidRPr="0025712E">
        <w:rPr>
          <w:rFonts w:ascii="Tahoma" w:hAnsi="Tahoma" w:cs="Tahoma"/>
          <w:color w:val="666666"/>
          <w:sz w:val="20"/>
          <w:szCs w:val="20"/>
          <w:lang w:val="en-US"/>
        </w:rPr>
        <w:t>AG</w:t>
      </w:r>
      <w:r w:rsidR="00942C55" w:rsidRPr="005E6D1B">
        <w:rPr>
          <w:rFonts w:ascii="Tahoma" w:hAnsi="Tahoma" w:cs="Tahoma"/>
          <w:color w:val="666666"/>
          <w:sz w:val="20"/>
          <w:szCs w:val="20"/>
        </w:rPr>
        <w:t xml:space="preserve"> </w:t>
      </w:r>
      <w:r w:rsidR="00DC2D4B">
        <w:rPr>
          <w:rFonts w:ascii="Tahoma" w:hAnsi="Tahoma" w:cs="Tahoma"/>
          <w:color w:val="666666"/>
          <w:sz w:val="20"/>
          <w:szCs w:val="20"/>
        </w:rPr>
        <w:t>в четвертом квартале 2011 и первом квартале 2012 года соответственно</w:t>
      </w:r>
      <w:r w:rsidRPr="00E15304">
        <w:rPr>
          <w:rFonts w:ascii="Tahoma" w:hAnsi="Tahoma" w:cs="Tahoma"/>
          <w:color w:val="666666"/>
          <w:sz w:val="20"/>
          <w:szCs w:val="20"/>
        </w:rPr>
        <w:t>.</w:t>
      </w:r>
      <w:r>
        <w:rPr>
          <w:rFonts w:ascii="Tahoma" w:hAnsi="Tahoma" w:cs="Tahoma"/>
          <w:color w:val="666666"/>
          <w:sz w:val="20"/>
          <w:szCs w:val="20"/>
        </w:rPr>
        <w:t xml:space="preserve"> В результате, </w:t>
      </w:r>
      <w:r w:rsidRPr="00EE347A">
        <w:rPr>
          <w:rFonts w:ascii="Tahoma" w:hAnsi="Tahoma" w:cs="Tahoma"/>
          <w:b/>
          <w:color w:val="666666"/>
          <w:sz w:val="20"/>
          <w:szCs w:val="20"/>
        </w:rPr>
        <w:t>отношение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0C1B4A">
        <w:rPr>
          <w:rFonts w:ascii="Tahoma" w:hAnsi="Tahoma" w:cs="Tahoma"/>
          <w:b/>
          <w:color w:val="666666"/>
          <w:sz w:val="20"/>
          <w:szCs w:val="20"/>
        </w:rPr>
        <w:t>операционных расходов к доходам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0C1B4A">
        <w:rPr>
          <w:rFonts w:ascii="Tahoma" w:hAnsi="Tahoma" w:cs="Tahoma"/>
          <w:b/>
          <w:color w:val="666666"/>
          <w:sz w:val="20"/>
          <w:szCs w:val="20"/>
        </w:rPr>
        <w:t>достигло</w:t>
      </w:r>
      <w:r>
        <w:rPr>
          <w:rFonts w:ascii="Tahoma" w:hAnsi="Tahoma" w:cs="Tahoma"/>
          <w:b/>
          <w:color w:val="666666"/>
          <w:sz w:val="20"/>
          <w:szCs w:val="20"/>
        </w:rPr>
        <w:t xml:space="preserve"> 4</w:t>
      </w:r>
      <w:r w:rsidRPr="00E15304">
        <w:rPr>
          <w:rFonts w:ascii="Tahoma" w:hAnsi="Tahoma" w:cs="Tahoma"/>
          <w:b/>
          <w:color w:val="666666"/>
          <w:sz w:val="20"/>
          <w:szCs w:val="20"/>
        </w:rPr>
        <w:t>7</w:t>
      </w:r>
      <w:r>
        <w:rPr>
          <w:rFonts w:ascii="Tahoma" w:hAnsi="Tahoma" w:cs="Tahoma"/>
          <w:b/>
          <w:color w:val="666666"/>
          <w:sz w:val="20"/>
          <w:szCs w:val="20"/>
        </w:rPr>
        <w:t>,</w:t>
      </w:r>
      <w:r w:rsidR="00DC2D4B">
        <w:rPr>
          <w:rFonts w:ascii="Tahoma" w:hAnsi="Tahoma" w:cs="Tahoma"/>
          <w:b/>
          <w:color w:val="666666"/>
          <w:sz w:val="20"/>
          <w:szCs w:val="20"/>
        </w:rPr>
        <w:t>3</w:t>
      </w:r>
      <w:r>
        <w:rPr>
          <w:rFonts w:ascii="Tahoma" w:hAnsi="Tahoma" w:cs="Tahoma"/>
          <w:b/>
          <w:color w:val="666666"/>
          <w:sz w:val="20"/>
          <w:szCs w:val="20"/>
        </w:rPr>
        <w:t xml:space="preserve">% </w:t>
      </w:r>
      <w:r w:rsidR="00DC2D4B">
        <w:rPr>
          <w:rFonts w:ascii="Tahoma" w:hAnsi="Tahoma" w:cs="Tahoma"/>
          <w:color w:val="666666"/>
          <w:sz w:val="20"/>
          <w:szCs w:val="20"/>
        </w:rPr>
        <w:t>за 9 месяцев</w:t>
      </w:r>
      <w:r>
        <w:rPr>
          <w:rFonts w:ascii="Tahoma" w:hAnsi="Tahoma" w:cs="Tahoma"/>
          <w:color w:val="666666"/>
          <w:sz w:val="20"/>
          <w:szCs w:val="20"/>
        </w:rPr>
        <w:t xml:space="preserve"> 2012 года против 44,</w:t>
      </w:r>
      <w:r w:rsidR="00DC2D4B">
        <w:rPr>
          <w:rFonts w:ascii="Tahoma" w:hAnsi="Tahoma" w:cs="Tahoma"/>
          <w:color w:val="666666"/>
          <w:sz w:val="20"/>
          <w:szCs w:val="20"/>
        </w:rPr>
        <w:t>2</w:t>
      </w:r>
      <w:r>
        <w:rPr>
          <w:rFonts w:ascii="Tahoma" w:hAnsi="Tahoma" w:cs="Tahoma"/>
          <w:color w:val="666666"/>
          <w:sz w:val="20"/>
          <w:szCs w:val="20"/>
        </w:rPr>
        <w:t xml:space="preserve">% </w:t>
      </w:r>
      <w:r w:rsidR="00DC2D4B">
        <w:rPr>
          <w:rFonts w:ascii="Tahoma" w:hAnsi="Tahoma" w:cs="Tahoma"/>
          <w:color w:val="666666"/>
          <w:sz w:val="20"/>
          <w:szCs w:val="20"/>
        </w:rPr>
        <w:t>за 9 месяцев</w:t>
      </w:r>
      <w:r>
        <w:rPr>
          <w:rFonts w:ascii="Tahoma" w:hAnsi="Tahoma" w:cs="Tahoma"/>
          <w:color w:val="666666"/>
          <w:sz w:val="20"/>
          <w:szCs w:val="20"/>
        </w:rPr>
        <w:t xml:space="preserve"> 2011 года.</w:t>
      </w:r>
    </w:p>
    <w:p w:rsidR="00012985" w:rsidRPr="00DC2D4B" w:rsidRDefault="00DC2D4B" w:rsidP="00DC2D4B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Чистая прибыль</w:t>
      </w:r>
      <w:r>
        <w:rPr>
          <w:rFonts w:ascii="Tahoma" w:hAnsi="Tahoma" w:cs="Tahoma"/>
          <w:color w:val="666666"/>
          <w:sz w:val="20"/>
          <w:szCs w:val="20"/>
        </w:rPr>
        <w:t xml:space="preserve"> Группы за девять месяцев 2012 года составила 262,8 млрд. рублей против 255,8 млрд. рублей за девять месяцев 2011 года. </w:t>
      </w:r>
      <w:r w:rsidR="002244C7" w:rsidRPr="00DC2D4B">
        <w:rPr>
          <w:rFonts w:ascii="Tahoma" w:hAnsi="Tahoma" w:cs="Tahoma"/>
          <w:color w:val="666666"/>
          <w:sz w:val="20"/>
          <w:szCs w:val="20"/>
        </w:rPr>
        <w:t>Рост чистой прибыли за девять месяцев 2012 года</w:t>
      </w:r>
      <w:r>
        <w:rPr>
          <w:rFonts w:ascii="Tahoma" w:hAnsi="Tahoma" w:cs="Tahoma"/>
          <w:color w:val="666666"/>
          <w:sz w:val="20"/>
          <w:szCs w:val="20"/>
        </w:rPr>
        <w:t xml:space="preserve"> на 2,7% по сравнению с аналогичным периодом 2011 года</w:t>
      </w:r>
      <w:r w:rsidR="002244C7" w:rsidRPr="00DC2D4B">
        <w:rPr>
          <w:rFonts w:ascii="Tahoma" w:hAnsi="Tahoma" w:cs="Tahoma"/>
          <w:color w:val="666666"/>
          <w:sz w:val="20"/>
          <w:szCs w:val="20"/>
        </w:rPr>
        <w:t xml:space="preserve"> вызван ростом основных направлений деятельности Группы, </w:t>
      </w:r>
      <w:r w:rsidR="00AE7EBC">
        <w:rPr>
          <w:rFonts w:ascii="Tahoma" w:hAnsi="Tahoma" w:cs="Tahoma"/>
          <w:color w:val="666666"/>
          <w:sz w:val="20"/>
          <w:szCs w:val="20"/>
        </w:rPr>
        <w:t xml:space="preserve">а также </w:t>
      </w:r>
      <w:r w:rsidR="005E6D1B">
        <w:rPr>
          <w:rFonts w:ascii="Tahoma" w:hAnsi="Tahoma" w:cs="Tahoma"/>
          <w:color w:val="666666"/>
          <w:sz w:val="20"/>
          <w:szCs w:val="20"/>
        </w:rPr>
        <w:t>доходами от операций</w:t>
      </w:r>
      <w:r w:rsidR="00AE7EBC">
        <w:rPr>
          <w:rFonts w:ascii="Tahoma" w:hAnsi="Tahoma" w:cs="Tahoma"/>
          <w:color w:val="666666"/>
          <w:sz w:val="20"/>
          <w:szCs w:val="20"/>
        </w:rPr>
        <w:t xml:space="preserve"> на финансовых рынках</w:t>
      </w:r>
      <w:r w:rsidR="002244C7" w:rsidRPr="00DC2D4B">
        <w:rPr>
          <w:rFonts w:ascii="Tahoma" w:hAnsi="Tahoma" w:cs="Tahoma"/>
          <w:color w:val="666666"/>
          <w:sz w:val="20"/>
          <w:szCs w:val="20"/>
        </w:rPr>
        <w:t>.</w:t>
      </w:r>
    </w:p>
    <w:p w:rsidR="00DC2D4B" w:rsidRDefault="00DC2D4B" w:rsidP="00DC2D4B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 xml:space="preserve">На 30 сентября 2012 года </w:t>
      </w:r>
      <w:r>
        <w:rPr>
          <w:rFonts w:ascii="Tahoma" w:hAnsi="Tahoma" w:cs="Tahoma"/>
          <w:b/>
          <w:color w:val="666666"/>
          <w:sz w:val="20"/>
          <w:szCs w:val="20"/>
        </w:rPr>
        <w:t>общий объем активов</w:t>
      </w:r>
      <w:r>
        <w:rPr>
          <w:rFonts w:ascii="Tahoma" w:hAnsi="Tahoma" w:cs="Tahoma"/>
          <w:color w:val="666666"/>
          <w:sz w:val="20"/>
          <w:szCs w:val="20"/>
        </w:rPr>
        <w:t xml:space="preserve"> Группы достиг 13 755,5 млрд. рублей (рост на 27,0% по сравнению с 31 декабря 2011 года).</w:t>
      </w:r>
    </w:p>
    <w:p w:rsidR="005A5239" w:rsidRPr="005234D6" w:rsidRDefault="005A5239" w:rsidP="005A5239">
      <w:pPr>
        <w:shd w:val="clear" w:color="auto" w:fill="FFFFFF"/>
        <w:spacing w:after="300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lastRenderedPageBreak/>
        <w:t xml:space="preserve">Портфель кредитов клиентам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после вычета резерва под обесценение вырос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за девять месяцев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2012 года на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28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5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и составил по состоянию на 30 сентября 2012 года 9 918,7 млрд. рублей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. </w:t>
      </w:r>
      <w:proofErr w:type="gramStart"/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К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редиты физическим лицам до вычета резерва выросли на 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48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9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%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(или на 35,4% б</w:t>
      </w:r>
      <w:r w:rsidR="006C3E93">
        <w:rPr>
          <w:rFonts w:ascii="Tahoma" w:hAnsi="Tahoma" w:cs="Tahoma"/>
          <w:color w:val="666666"/>
          <w:sz w:val="20"/>
          <w:szCs w:val="20"/>
        </w:rPr>
        <w:t xml:space="preserve">ез учета эффекта от приобретения 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Deniz</w:t>
      </w:r>
      <w:r w:rsidR="005E6D1B">
        <w:rPr>
          <w:rFonts w:ascii="Tahoma" w:hAnsi="Tahoma" w:cs="Tahoma"/>
          <w:color w:val="666666"/>
          <w:sz w:val="20"/>
          <w:szCs w:val="20"/>
          <w:lang w:val="en-US"/>
        </w:rPr>
        <w:t>B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ank</w:t>
      </w:r>
      <w:r w:rsidR="006C3E93" w:rsidRPr="0025712E">
        <w:rPr>
          <w:rFonts w:ascii="Tahoma" w:hAnsi="Tahoma" w:cs="Tahoma"/>
          <w:color w:val="666666"/>
          <w:sz w:val="20"/>
          <w:szCs w:val="20"/>
        </w:rPr>
        <w:t xml:space="preserve"> и 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Sberbank</w:t>
      </w:r>
      <w:r w:rsidR="006C3E93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Europe</w:t>
      </w:r>
      <w:r w:rsidR="006C3E93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AG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)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до 2 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688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2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млрд. рублей на 30 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сентябр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я 2012 года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, в то время как кредиты юридическим лицам до вычета резерва выросли на 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18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6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 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(или на 8,8% б</w:t>
      </w:r>
      <w:r w:rsidR="006C3E93">
        <w:rPr>
          <w:rFonts w:ascii="Tahoma" w:hAnsi="Tahoma" w:cs="Tahoma"/>
          <w:color w:val="666666"/>
          <w:sz w:val="20"/>
          <w:szCs w:val="20"/>
        </w:rPr>
        <w:t xml:space="preserve">ез учета эффекта от приобретения 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Deniz</w:t>
      </w:r>
      <w:r w:rsidR="005E6D1B">
        <w:rPr>
          <w:rFonts w:ascii="Tahoma" w:hAnsi="Tahoma" w:cs="Tahoma"/>
          <w:color w:val="666666"/>
          <w:sz w:val="20"/>
          <w:szCs w:val="20"/>
          <w:lang w:val="en-US"/>
        </w:rPr>
        <w:t>B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ank</w:t>
      </w:r>
      <w:r w:rsidR="006C3E93" w:rsidRPr="0025712E">
        <w:rPr>
          <w:rFonts w:ascii="Tahoma" w:hAnsi="Tahoma" w:cs="Tahoma"/>
          <w:color w:val="666666"/>
          <w:sz w:val="20"/>
          <w:szCs w:val="20"/>
        </w:rPr>
        <w:t xml:space="preserve"> и 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Sberbank</w:t>
      </w:r>
      <w:r w:rsidR="006C3E93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Europe</w:t>
      </w:r>
      <w:r w:rsidR="006C3E93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C3E93" w:rsidRPr="0025712E">
        <w:rPr>
          <w:rFonts w:ascii="Tahoma" w:hAnsi="Tahoma" w:cs="Tahoma"/>
          <w:color w:val="666666"/>
          <w:sz w:val="20"/>
          <w:szCs w:val="20"/>
          <w:lang w:val="en-US"/>
        </w:rPr>
        <w:t>AG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)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7</w:t>
      </w:r>
      <w:proofErr w:type="gramEnd"/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 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802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 w:rsidR="006C3E93">
        <w:rPr>
          <w:rStyle w:val="a3"/>
          <w:rFonts w:ascii="Tahoma" w:hAnsi="Tahoma" w:cs="Tahoma"/>
          <w:b w:val="0"/>
          <w:color w:val="666666"/>
          <w:sz w:val="20"/>
          <w:szCs w:val="20"/>
        </w:rPr>
        <w:t>7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млрд. руб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лей на указанную дату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</w:p>
    <w:p w:rsidR="00370536" w:rsidRPr="00036F0C" w:rsidRDefault="00370536" w:rsidP="00370536">
      <w:pPr>
        <w:shd w:val="clear" w:color="auto" w:fill="FFFFFF"/>
        <w:spacing w:after="300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Качество кредитного портфеля Группы </w:t>
      </w:r>
      <w:r w:rsidR="009A6C41">
        <w:rPr>
          <w:rStyle w:val="a3"/>
          <w:rFonts w:ascii="Tahoma" w:hAnsi="Tahoma" w:cs="Tahoma"/>
          <w:color w:val="666666"/>
          <w:sz w:val="20"/>
          <w:szCs w:val="20"/>
        </w:rPr>
        <w:t>улучшилось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.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Доля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неработающих кредитов (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  <w:lang w:val="en-US"/>
        </w:rPr>
        <w:t>NPL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), состоящих из кредитов с просроченными платежами по основному долгу или процент</w:t>
      </w:r>
      <w:r w:rsidR="007A17B9">
        <w:rPr>
          <w:rStyle w:val="a3"/>
          <w:rFonts w:ascii="Tahoma" w:hAnsi="Tahoma" w:cs="Tahoma"/>
          <w:b w:val="0"/>
          <w:color w:val="666666"/>
          <w:sz w:val="20"/>
          <w:szCs w:val="20"/>
        </w:rPr>
        <w:t>ам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более чем на 90 дней, снизи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лась до 3,4% на 30 </w:t>
      </w:r>
      <w:r w:rsidR="003C33F7">
        <w:rPr>
          <w:rStyle w:val="a3"/>
          <w:rFonts w:ascii="Tahoma" w:hAnsi="Tahoma" w:cs="Tahoma"/>
          <w:b w:val="0"/>
          <w:color w:val="666666"/>
          <w:sz w:val="20"/>
          <w:szCs w:val="20"/>
        </w:rPr>
        <w:t>сентября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в сравнении с 4,9% на начало года.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Снижение</w:t>
      </w:r>
      <w:r w:rsidRP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портфеля</w:t>
      </w:r>
      <w:r w:rsidRP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неработающих</w:t>
      </w:r>
      <w:r w:rsidRP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кредитов</w:t>
      </w:r>
      <w:r w:rsidRPr="0021659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Pr="00216594">
        <w:rPr>
          <w:rFonts w:ascii="Tahoma" w:hAnsi="Tahoma" w:cs="Tahoma"/>
          <w:color w:val="666666"/>
          <w:sz w:val="20"/>
          <w:szCs w:val="20"/>
        </w:rPr>
        <w:t>(</w:t>
      </w:r>
      <w:r>
        <w:rPr>
          <w:rFonts w:ascii="Tahoma" w:hAnsi="Tahoma" w:cs="Tahoma"/>
          <w:color w:val="666666"/>
          <w:sz w:val="20"/>
          <w:szCs w:val="20"/>
          <w:lang w:val="en-US"/>
        </w:rPr>
        <w:t>NPL</w:t>
      </w:r>
      <w:r w:rsidRPr="00216594">
        <w:rPr>
          <w:rFonts w:ascii="Tahoma" w:hAnsi="Tahoma" w:cs="Tahoma"/>
          <w:color w:val="666666"/>
          <w:sz w:val="20"/>
          <w:szCs w:val="20"/>
        </w:rPr>
        <w:t xml:space="preserve">) </w:t>
      </w:r>
      <w:r>
        <w:rPr>
          <w:rFonts w:ascii="Tahoma" w:hAnsi="Tahoma" w:cs="Tahoma"/>
          <w:color w:val="666666"/>
          <w:sz w:val="20"/>
          <w:szCs w:val="20"/>
        </w:rPr>
        <w:t xml:space="preserve">непосредственно связано с приобретением Группой в июне 2012 года компании, владеющей единичным активом, финансируемой за счет кредита Группы. </w:t>
      </w:r>
      <w:r w:rsidRPr="00493AC9">
        <w:rPr>
          <w:rFonts w:ascii="Tahoma" w:hAnsi="Tahoma" w:cs="Tahoma"/>
          <w:color w:val="666666"/>
          <w:sz w:val="20"/>
          <w:szCs w:val="20"/>
        </w:rPr>
        <w:t>Указанная сделка приобретения компании явилась следствием работы по возврату проблемного кредита</w:t>
      </w:r>
      <w:r w:rsidR="00C460F3">
        <w:rPr>
          <w:rFonts w:ascii="Tahoma" w:hAnsi="Tahoma" w:cs="Tahoma"/>
          <w:color w:val="666666"/>
          <w:sz w:val="20"/>
          <w:szCs w:val="20"/>
        </w:rPr>
        <w:t>; в результате</w:t>
      </w:r>
      <w:r w:rsidRPr="00493AC9">
        <w:rPr>
          <w:rFonts w:ascii="Tahoma" w:hAnsi="Tahoma" w:cs="Tahoma"/>
          <w:color w:val="666666"/>
          <w:sz w:val="20"/>
          <w:szCs w:val="20"/>
        </w:rPr>
        <w:t xml:space="preserve"> существенная часть проблемного кредит</w:t>
      </w:r>
      <w:r>
        <w:rPr>
          <w:rFonts w:ascii="Tahoma" w:hAnsi="Tahoma" w:cs="Tahoma"/>
          <w:color w:val="666666"/>
          <w:sz w:val="20"/>
          <w:szCs w:val="20"/>
        </w:rPr>
        <w:t xml:space="preserve">а была </w:t>
      </w:r>
      <w:r w:rsidRPr="00493AC9">
        <w:rPr>
          <w:rFonts w:ascii="Tahoma" w:hAnsi="Tahoma" w:cs="Tahoma"/>
          <w:color w:val="666666"/>
          <w:sz w:val="20"/>
          <w:szCs w:val="20"/>
        </w:rPr>
        <w:t xml:space="preserve">списана за счет резервов, созданных в предыдущих </w:t>
      </w:r>
      <w:r>
        <w:rPr>
          <w:rFonts w:ascii="Tahoma" w:hAnsi="Tahoma" w:cs="Tahoma"/>
          <w:color w:val="666666"/>
          <w:sz w:val="20"/>
          <w:szCs w:val="20"/>
        </w:rPr>
        <w:t>годах.</w:t>
      </w:r>
      <w:r w:rsidRPr="00493AC9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Таким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образом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, </w:t>
      </w:r>
      <w:r>
        <w:rPr>
          <w:rFonts w:ascii="Tahoma" w:hAnsi="Tahoma" w:cs="Tahoma"/>
          <w:color w:val="666666"/>
          <w:sz w:val="20"/>
          <w:szCs w:val="20"/>
        </w:rPr>
        <w:t>на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30 </w:t>
      </w:r>
      <w:r w:rsidR="003C33F7">
        <w:rPr>
          <w:rFonts w:ascii="Tahoma" w:hAnsi="Tahoma" w:cs="Tahoma"/>
          <w:color w:val="666666"/>
          <w:sz w:val="20"/>
          <w:szCs w:val="20"/>
        </w:rPr>
        <w:t>сентябр</w:t>
      </w:r>
      <w:r>
        <w:rPr>
          <w:rFonts w:ascii="Tahoma" w:hAnsi="Tahoma" w:cs="Tahoma"/>
          <w:color w:val="666666"/>
          <w:sz w:val="20"/>
          <w:szCs w:val="20"/>
        </w:rPr>
        <w:t>я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2012 </w:t>
      </w:r>
      <w:r>
        <w:rPr>
          <w:rFonts w:ascii="Tahoma" w:hAnsi="Tahoma" w:cs="Tahoma"/>
          <w:color w:val="666666"/>
          <w:sz w:val="20"/>
          <w:szCs w:val="20"/>
        </w:rPr>
        <w:t>года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отношение резерва под обесценение кредитного портфеля к неработающим кредитам (совокупный объем резерва под обесценение кредитного портфеля к объему неработающих кредитов) составило 1,</w:t>
      </w:r>
      <w:r w:rsidR="003C33F7">
        <w:rPr>
          <w:rStyle w:val="a3"/>
          <w:rFonts w:ascii="Tahoma" w:hAnsi="Tahoma" w:cs="Tahoma"/>
          <w:b w:val="0"/>
          <w:color w:val="666666"/>
          <w:sz w:val="20"/>
          <w:szCs w:val="20"/>
        </w:rPr>
        <w:t>6</w:t>
      </w:r>
      <w:r>
        <w:rPr>
          <w:rFonts w:ascii="Tahoma" w:hAnsi="Tahoma" w:cs="Tahoma"/>
          <w:color w:val="666666"/>
          <w:sz w:val="20"/>
          <w:szCs w:val="20"/>
        </w:rPr>
        <w:t>. В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то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же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самое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время,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резерв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под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обесценение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кредитного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портфеля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снизился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на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1</w:t>
      </w:r>
      <w:r w:rsidR="003C33F7">
        <w:rPr>
          <w:rFonts w:ascii="Tahoma" w:hAnsi="Tahoma" w:cs="Tahoma"/>
          <w:color w:val="666666"/>
          <w:sz w:val="20"/>
          <w:szCs w:val="20"/>
        </w:rPr>
        <w:t>3</w:t>
      </w:r>
      <w:r w:rsidRPr="003E14A1">
        <w:rPr>
          <w:rFonts w:ascii="Tahoma" w:hAnsi="Tahoma" w:cs="Tahoma"/>
          <w:color w:val="666666"/>
          <w:sz w:val="20"/>
          <w:szCs w:val="20"/>
        </w:rPr>
        <w:t>,</w:t>
      </w:r>
      <w:r w:rsidR="003C33F7">
        <w:rPr>
          <w:rFonts w:ascii="Tahoma" w:hAnsi="Tahoma" w:cs="Tahoma"/>
          <w:color w:val="666666"/>
          <w:sz w:val="20"/>
          <w:szCs w:val="20"/>
        </w:rPr>
        <w:t>6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% </w:t>
      </w:r>
      <w:r>
        <w:rPr>
          <w:rFonts w:ascii="Tahoma" w:hAnsi="Tahoma" w:cs="Tahoma"/>
          <w:color w:val="666666"/>
          <w:sz w:val="20"/>
          <w:szCs w:val="20"/>
        </w:rPr>
        <w:t>и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составил</w:t>
      </w:r>
      <w:r w:rsidRPr="003E14A1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C33F7">
        <w:rPr>
          <w:rFonts w:ascii="Tahoma" w:hAnsi="Tahoma" w:cs="Tahoma"/>
          <w:color w:val="666666"/>
          <w:sz w:val="20"/>
          <w:szCs w:val="20"/>
        </w:rPr>
        <w:t>572</w:t>
      </w:r>
      <w:r w:rsidR="002244C7">
        <w:rPr>
          <w:rFonts w:ascii="Tahoma" w:hAnsi="Tahoma" w:cs="Tahoma"/>
          <w:color w:val="666666"/>
          <w:sz w:val="20"/>
          <w:szCs w:val="20"/>
        </w:rPr>
        <w:t>,0</w:t>
      </w:r>
      <w:r>
        <w:rPr>
          <w:rFonts w:ascii="Tahoma" w:hAnsi="Tahoma" w:cs="Tahoma"/>
          <w:color w:val="666666"/>
          <w:sz w:val="20"/>
          <w:szCs w:val="20"/>
        </w:rPr>
        <w:t xml:space="preserve"> млрд. рублей. Отношение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резервов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под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обесценение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кредитного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портфеля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к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совокупному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кредитному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портфелю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составило</w:t>
      </w:r>
      <w:r w:rsidRPr="00036F0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C33F7">
        <w:rPr>
          <w:rFonts w:ascii="Tahoma" w:hAnsi="Tahoma" w:cs="Tahoma"/>
          <w:color w:val="666666"/>
          <w:sz w:val="20"/>
          <w:szCs w:val="20"/>
        </w:rPr>
        <w:t>5</w:t>
      </w:r>
      <w:r>
        <w:rPr>
          <w:rFonts w:ascii="Tahoma" w:hAnsi="Tahoma" w:cs="Tahoma"/>
          <w:color w:val="666666"/>
          <w:sz w:val="20"/>
          <w:szCs w:val="20"/>
        </w:rPr>
        <w:t>,</w:t>
      </w:r>
      <w:r w:rsidR="003C33F7">
        <w:rPr>
          <w:rFonts w:ascii="Tahoma" w:hAnsi="Tahoma" w:cs="Tahoma"/>
          <w:color w:val="666666"/>
          <w:sz w:val="20"/>
          <w:szCs w:val="20"/>
        </w:rPr>
        <w:t>5</w:t>
      </w:r>
      <w:r>
        <w:rPr>
          <w:rFonts w:ascii="Tahoma" w:hAnsi="Tahoma" w:cs="Tahoma"/>
          <w:color w:val="666666"/>
          <w:sz w:val="20"/>
          <w:szCs w:val="20"/>
        </w:rPr>
        <w:t>% в сравнении с 7,9% на начало года</w:t>
      </w:r>
      <w:r w:rsidRPr="00036F0C">
        <w:rPr>
          <w:rFonts w:ascii="Tahoma" w:hAnsi="Tahoma" w:cs="Tahoma"/>
          <w:color w:val="666666"/>
          <w:sz w:val="20"/>
          <w:szCs w:val="20"/>
        </w:rPr>
        <w:t>.</w:t>
      </w:r>
    </w:p>
    <w:p w:rsidR="000D3FFD" w:rsidRPr="005234D6" w:rsidRDefault="000D3FFD" w:rsidP="000D3FFD">
      <w:pPr>
        <w:shd w:val="clear" w:color="auto" w:fill="FFFFFF"/>
        <w:spacing w:after="300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045A57">
        <w:rPr>
          <w:rStyle w:val="a3"/>
          <w:rFonts w:ascii="Tahoma" w:hAnsi="Tahoma" w:cs="Tahoma"/>
          <w:color w:val="666666"/>
          <w:sz w:val="20"/>
          <w:szCs w:val="20"/>
        </w:rPr>
        <w:t>Портфель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ценных бумаг Группы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увеличился на 11,4% за  девять месяцев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 до 1 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811,9 млрд. рублей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на 3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0 сентября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года. </w:t>
      </w:r>
      <w:proofErr w:type="gramStart"/>
      <w:r w:rsidR="00D4404C">
        <w:rPr>
          <w:rStyle w:val="a3"/>
          <w:rFonts w:ascii="Tahoma" w:hAnsi="Tahoma" w:cs="Tahoma"/>
          <w:b w:val="0"/>
          <w:color w:val="666666"/>
          <w:sz w:val="20"/>
          <w:szCs w:val="20"/>
        </w:rPr>
        <w:t>Объем вложений в о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б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лигации федерального займа на 30 сентября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2012 года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снизилс</w:t>
      </w:r>
      <w:r w:rsidR="00D4404C">
        <w:rPr>
          <w:rStyle w:val="a3"/>
          <w:rFonts w:ascii="Tahoma" w:hAnsi="Tahoma" w:cs="Tahoma"/>
          <w:b w:val="0"/>
          <w:color w:val="666666"/>
          <w:sz w:val="20"/>
          <w:szCs w:val="20"/>
        </w:rPr>
        <w:t>я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на 4,8%, но продолжа</w:t>
      </w:r>
      <w:r w:rsidR="00D4404C">
        <w:rPr>
          <w:rStyle w:val="a3"/>
          <w:rFonts w:ascii="Tahoma" w:hAnsi="Tahoma" w:cs="Tahoma"/>
          <w:b w:val="0"/>
          <w:color w:val="666666"/>
          <w:sz w:val="20"/>
          <w:szCs w:val="20"/>
        </w:rPr>
        <w:t>е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т 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с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оставлять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большую часть портфеля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ценных бумаг Группы с долей 37,4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%. </w:t>
      </w:r>
      <w:r w:rsidR="00C460F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Объем </w:t>
      </w:r>
      <w:r w:rsidR="00D4404C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вложений в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корпоративны</w:t>
      </w:r>
      <w:r w:rsidR="00D4404C">
        <w:rPr>
          <w:rStyle w:val="a3"/>
          <w:rFonts w:ascii="Tahoma" w:hAnsi="Tahoma" w:cs="Tahoma"/>
          <w:b w:val="0"/>
          <w:color w:val="666666"/>
          <w:sz w:val="20"/>
          <w:szCs w:val="20"/>
        </w:rPr>
        <w:t>е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облигаци</w:t>
      </w:r>
      <w:r w:rsidR="00D4404C">
        <w:rPr>
          <w:rStyle w:val="a3"/>
          <w:rFonts w:ascii="Tahoma" w:hAnsi="Tahoma" w:cs="Tahoma"/>
          <w:b w:val="0"/>
          <w:color w:val="666666"/>
          <w:sz w:val="20"/>
          <w:szCs w:val="20"/>
        </w:rPr>
        <w:t>и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>, входящи</w:t>
      </w:r>
      <w:r w:rsidR="00D4404C">
        <w:rPr>
          <w:rStyle w:val="a3"/>
          <w:rFonts w:ascii="Tahoma" w:hAnsi="Tahoma" w:cs="Tahoma"/>
          <w:b w:val="0"/>
          <w:color w:val="666666"/>
          <w:sz w:val="20"/>
          <w:szCs w:val="20"/>
        </w:rPr>
        <w:t>е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в состав портфеля ценных бумаг, имеющегося в наличии для продажи,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увеличилс</w:t>
      </w:r>
      <w:r w:rsidR="00D4404C">
        <w:rPr>
          <w:rStyle w:val="a3"/>
          <w:rFonts w:ascii="Tahoma" w:hAnsi="Tahoma" w:cs="Tahoma"/>
          <w:b w:val="0"/>
          <w:color w:val="666666"/>
          <w:sz w:val="20"/>
          <w:szCs w:val="20"/>
        </w:rPr>
        <w:t>я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на 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>13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6%. Увеличение объема </w:t>
      </w:r>
      <w:r w:rsidR="00AD7C5A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вложений в 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>прочи</w:t>
      </w:r>
      <w:r w:rsidR="00AD7C5A">
        <w:rPr>
          <w:rStyle w:val="a3"/>
          <w:rFonts w:ascii="Tahoma" w:hAnsi="Tahoma" w:cs="Tahoma"/>
          <w:b w:val="0"/>
          <w:color w:val="666666"/>
          <w:sz w:val="20"/>
          <w:szCs w:val="20"/>
        </w:rPr>
        <w:t>е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ценны</w:t>
      </w:r>
      <w:r w:rsidR="00AD7C5A">
        <w:rPr>
          <w:rStyle w:val="a3"/>
          <w:rFonts w:ascii="Tahoma" w:hAnsi="Tahoma" w:cs="Tahoma"/>
          <w:b w:val="0"/>
          <w:color w:val="666666"/>
          <w:sz w:val="20"/>
          <w:szCs w:val="20"/>
        </w:rPr>
        <w:t>е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бумаг</w:t>
      </w:r>
      <w:r w:rsidR="00AD7C5A">
        <w:rPr>
          <w:rStyle w:val="a3"/>
          <w:rFonts w:ascii="Tahoma" w:hAnsi="Tahoma" w:cs="Tahoma"/>
          <w:b w:val="0"/>
          <w:color w:val="666666"/>
          <w:sz w:val="20"/>
          <w:szCs w:val="20"/>
        </w:rPr>
        <w:t>и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в третьем квартале 2012 года вызвано увеличением </w:t>
      </w:r>
      <w:r w:rsidR="00AD7C5A">
        <w:rPr>
          <w:rStyle w:val="a3"/>
          <w:rFonts w:ascii="Tahoma" w:hAnsi="Tahoma" w:cs="Tahoma"/>
          <w:b w:val="0"/>
          <w:color w:val="666666"/>
          <w:sz w:val="20"/>
          <w:szCs w:val="20"/>
        </w:rPr>
        <w:t>портфеля</w:t>
      </w:r>
      <w:proofErr w:type="gramEnd"/>
      <w:r w:rsidR="00AD7C5A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>ценных бумаг, выпущенных правительствами иностранных государств</w:t>
      </w:r>
      <w:r w:rsidR="00C460F3"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 w:rsidR="00726EC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на 125,5 млрд. рублей и связано с приобретением</w:t>
      </w:r>
      <w:r w:rsidR="00726EC8" w:rsidRPr="00726EC8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26EC8" w:rsidRPr="00790ECF">
        <w:rPr>
          <w:rFonts w:ascii="Tahoma" w:hAnsi="Tahoma" w:cs="Tahoma"/>
          <w:color w:val="666666"/>
          <w:sz w:val="20"/>
          <w:szCs w:val="20"/>
          <w:lang w:val="en-US"/>
        </w:rPr>
        <w:t>Deniz</w:t>
      </w:r>
      <w:r w:rsidR="005E6D1B">
        <w:rPr>
          <w:rFonts w:ascii="Tahoma" w:hAnsi="Tahoma" w:cs="Tahoma"/>
          <w:color w:val="666666"/>
          <w:sz w:val="20"/>
          <w:szCs w:val="20"/>
          <w:lang w:val="en-US"/>
        </w:rPr>
        <w:t>B</w:t>
      </w:r>
      <w:r w:rsidR="00726EC8" w:rsidRPr="00790ECF">
        <w:rPr>
          <w:rFonts w:ascii="Tahoma" w:hAnsi="Tahoma" w:cs="Tahoma"/>
          <w:color w:val="666666"/>
          <w:sz w:val="20"/>
          <w:szCs w:val="20"/>
          <w:lang w:val="en-US"/>
        </w:rPr>
        <w:t>ank</w:t>
      </w:r>
      <w:r w:rsidRPr="005234D6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</w:p>
    <w:p w:rsidR="00726EC8" w:rsidRDefault="00726EC8" w:rsidP="00726EC8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 xml:space="preserve">На 30 сентября 2012 года </w:t>
      </w:r>
      <w:r>
        <w:rPr>
          <w:rFonts w:ascii="Tahoma" w:hAnsi="Tahoma" w:cs="Tahoma"/>
          <w:b/>
          <w:color w:val="666666"/>
          <w:sz w:val="20"/>
          <w:szCs w:val="20"/>
        </w:rPr>
        <w:t>общий объем обязатель</w:t>
      </w:r>
      <w:proofErr w:type="gramStart"/>
      <w:r>
        <w:rPr>
          <w:rFonts w:ascii="Tahoma" w:hAnsi="Tahoma" w:cs="Tahoma"/>
          <w:b/>
          <w:color w:val="666666"/>
          <w:sz w:val="20"/>
          <w:szCs w:val="20"/>
        </w:rPr>
        <w:t xml:space="preserve">ств </w:t>
      </w:r>
      <w:r>
        <w:rPr>
          <w:rFonts w:ascii="Tahoma" w:hAnsi="Tahoma" w:cs="Tahoma"/>
          <w:color w:val="666666"/>
          <w:sz w:val="20"/>
          <w:szCs w:val="20"/>
        </w:rPr>
        <w:t>Гр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>уппы составил 12 231,8 млрд. рублей, увеличившись на 27,9% за период с 31 декабря 2011 года. Средства физических лиц на общую сумму 6 503,8 млрд. рублей по состоянию на 30 сентября 2012 года остаются основным источником финансирования Группы</w:t>
      </w:r>
      <w:r w:rsidR="002244C7">
        <w:rPr>
          <w:rFonts w:ascii="Tahoma" w:hAnsi="Tahoma" w:cs="Tahoma"/>
          <w:color w:val="666666"/>
          <w:sz w:val="20"/>
          <w:szCs w:val="20"/>
        </w:rPr>
        <w:t xml:space="preserve"> и составляют</w:t>
      </w:r>
      <w:r>
        <w:rPr>
          <w:rFonts w:ascii="Tahoma" w:hAnsi="Tahoma" w:cs="Tahoma"/>
          <w:color w:val="666666"/>
          <w:sz w:val="20"/>
          <w:szCs w:val="20"/>
        </w:rPr>
        <w:t xml:space="preserve"> 53,2% всех обязатель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ств Гр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>уппы. Объем депозитов физических лиц увеличился на 13,6% по сравнению с концом 2011 года. Средства корпоративных клиентов выросли по сравнению с концом 2011 года на 36,8% до 3 017,6 млрд. рублей на 30 сентября 2012 года и составили 24,7% от общего объема обязательств.</w:t>
      </w:r>
    </w:p>
    <w:p w:rsidR="00726EC8" w:rsidRDefault="00726EC8" w:rsidP="00726EC8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 xml:space="preserve">На 30 сентября 2012 года </w:t>
      </w:r>
      <w:r w:rsidRPr="00F15E48">
        <w:rPr>
          <w:rFonts w:ascii="Tahoma" w:hAnsi="Tahoma" w:cs="Tahoma"/>
          <w:b/>
          <w:color w:val="666666"/>
          <w:sz w:val="20"/>
          <w:szCs w:val="20"/>
        </w:rPr>
        <w:t>Средства банков</w:t>
      </w:r>
      <w:r>
        <w:rPr>
          <w:rFonts w:ascii="Tahoma" w:hAnsi="Tahoma" w:cs="Tahoma"/>
          <w:color w:val="666666"/>
          <w:sz w:val="20"/>
          <w:szCs w:val="20"/>
        </w:rPr>
        <w:t xml:space="preserve"> составили 1 026,0 млрд. рублей. Увеличение заимствований Группы на денежных рынках на 92,7% в сравнении с началом года вызвано опережающими темпами роста активов по сравнению с</w:t>
      </w:r>
      <w:r w:rsidR="002244C7">
        <w:rPr>
          <w:rFonts w:ascii="Tahoma" w:hAnsi="Tahoma" w:cs="Tahoma"/>
          <w:color w:val="666666"/>
          <w:sz w:val="20"/>
          <w:szCs w:val="20"/>
        </w:rPr>
        <w:t xml:space="preserve"> увеличением сре</w:t>
      </w:r>
      <w:proofErr w:type="gramStart"/>
      <w:r w:rsidR="002244C7">
        <w:rPr>
          <w:rFonts w:ascii="Tahoma" w:hAnsi="Tahoma" w:cs="Tahoma"/>
          <w:color w:val="666666"/>
          <w:sz w:val="20"/>
          <w:szCs w:val="20"/>
        </w:rPr>
        <w:t>дств</w:t>
      </w:r>
      <w:r>
        <w:rPr>
          <w:rFonts w:ascii="Tahoma" w:hAnsi="Tahoma" w:cs="Tahoma"/>
          <w:color w:val="666666"/>
          <w:sz w:val="20"/>
          <w:szCs w:val="20"/>
        </w:rPr>
        <w:t xml:space="preserve"> кл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>иентов Группы.</w:t>
      </w:r>
    </w:p>
    <w:p w:rsidR="00726EC8" w:rsidRPr="005D7A9E" w:rsidRDefault="00726EC8" w:rsidP="00726EC8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  <w:r w:rsidRPr="00EE347A">
        <w:rPr>
          <w:rFonts w:ascii="Tahoma" w:hAnsi="Tahoma" w:cs="Tahoma"/>
          <w:b/>
          <w:color w:val="666666"/>
          <w:sz w:val="20"/>
          <w:szCs w:val="20"/>
        </w:rPr>
        <w:t>Собственные средства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Группы</w:t>
      </w:r>
      <w:r>
        <w:rPr>
          <w:rFonts w:ascii="Tahoma" w:hAnsi="Tahoma" w:cs="Tahoma"/>
          <w:color w:val="666666"/>
          <w:sz w:val="20"/>
          <w:szCs w:val="20"/>
        </w:rPr>
        <w:t xml:space="preserve"> составили 1 523</w:t>
      </w:r>
      <w:r w:rsidRPr="00EE347A">
        <w:rPr>
          <w:rFonts w:ascii="Tahoma" w:hAnsi="Tahoma" w:cs="Tahoma"/>
          <w:color w:val="666666"/>
          <w:sz w:val="20"/>
          <w:szCs w:val="20"/>
        </w:rPr>
        <w:t>,</w:t>
      </w:r>
      <w:r>
        <w:rPr>
          <w:rFonts w:ascii="Tahoma" w:hAnsi="Tahoma" w:cs="Tahoma"/>
          <w:color w:val="666666"/>
          <w:sz w:val="20"/>
          <w:szCs w:val="20"/>
        </w:rPr>
        <w:t>7 млрд. рублей по состоянию на 30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сентября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201</w:t>
      </w:r>
      <w:r>
        <w:rPr>
          <w:rFonts w:ascii="Tahoma" w:hAnsi="Tahoma" w:cs="Tahoma"/>
          <w:color w:val="666666"/>
          <w:sz w:val="20"/>
          <w:szCs w:val="20"/>
        </w:rPr>
        <w:t>2 года и выросли на 20</w:t>
      </w:r>
      <w:r w:rsidRPr="00EE347A">
        <w:rPr>
          <w:rFonts w:ascii="Tahoma" w:hAnsi="Tahoma" w:cs="Tahoma"/>
          <w:color w:val="666666"/>
          <w:sz w:val="20"/>
          <w:szCs w:val="20"/>
        </w:rPr>
        <w:t>,</w:t>
      </w:r>
      <w:r>
        <w:rPr>
          <w:rFonts w:ascii="Tahoma" w:hAnsi="Tahoma" w:cs="Tahoma"/>
          <w:color w:val="666666"/>
          <w:sz w:val="20"/>
          <w:szCs w:val="20"/>
        </w:rPr>
        <w:t>2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% в течение </w:t>
      </w:r>
      <w:r>
        <w:rPr>
          <w:rFonts w:ascii="Tahoma" w:hAnsi="Tahoma" w:cs="Tahoma"/>
          <w:color w:val="666666"/>
          <w:sz w:val="20"/>
          <w:szCs w:val="20"/>
        </w:rPr>
        <w:t xml:space="preserve">9 месяцев </w:t>
      </w:r>
      <w:r w:rsidRPr="00EE347A">
        <w:rPr>
          <w:rFonts w:ascii="Tahoma" w:hAnsi="Tahoma" w:cs="Tahoma"/>
          <w:color w:val="666666"/>
          <w:sz w:val="20"/>
          <w:szCs w:val="20"/>
        </w:rPr>
        <w:t>201</w:t>
      </w:r>
      <w:r>
        <w:rPr>
          <w:rFonts w:ascii="Tahoma" w:hAnsi="Tahoma" w:cs="Tahoma"/>
          <w:color w:val="666666"/>
          <w:sz w:val="20"/>
          <w:szCs w:val="20"/>
        </w:rPr>
        <w:t>2 года. По состоянию на 30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 xml:space="preserve">сентября </w:t>
      </w:r>
      <w:r w:rsidRPr="00EE347A">
        <w:rPr>
          <w:rFonts w:ascii="Tahoma" w:hAnsi="Tahoma" w:cs="Tahoma"/>
          <w:color w:val="666666"/>
          <w:sz w:val="20"/>
          <w:szCs w:val="20"/>
        </w:rPr>
        <w:t>201</w:t>
      </w:r>
      <w:r>
        <w:rPr>
          <w:rFonts w:ascii="Tahoma" w:hAnsi="Tahoma" w:cs="Tahoma"/>
          <w:color w:val="666666"/>
          <w:sz w:val="20"/>
          <w:szCs w:val="20"/>
        </w:rPr>
        <w:t>2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года коэффициент достаточности общего капитала Группы, рассчитанный в соответствии с требованиями </w:t>
      </w:r>
      <w:proofErr w:type="spellStart"/>
      <w:r w:rsidRPr="00EE347A">
        <w:rPr>
          <w:rFonts w:ascii="Tahoma" w:hAnsi="Tahoma" w:cs="Tahoma"/>
          <w:color w:val="666666"/>
          <w:sz w:val="20"/>
          <w:szCs w:val="20"/>
        </w:rPr>
        <w:t>Базельского</w:t>
      </w:r>
      <w:proofErr w:type="spellEnd"/>
      <w:r w:rsidRPr="00EE347A">
        <w:rPr>
          <w:rFonts w:ascii="Tahoma" w:hAnsi="Tahoma" w:cs="Tahoma"/>
          <w:color w:val="666666"/>
          <w:sz w:val="20"/>
          <w:szCs w:val="20"/>
        </w:rPr>
        <w:t xml:space="preserve"> с</w:t>
      </w:r>
      <w:r>
        <w:rPr>
          <w:rFonts w:ascii="Tahoma" w:hAnsi="Tahoma" w:cs="Tahoma"/>
          <w:color w:val="666666"/>
          <w:sz w:val="20"/>
          <w:szCs w:val="20"/>
        </w:rPr>
        <w:t>оглашения (</w:t>
      </w:r>
      <w:proofErr w:type="spellStart"/>
      <w:r>
        <w:rPr>
          <w:rFonts w:ascii="Tahoma" w:hAnsi="Tahoma" w:cs="Tahoma"/>
          <w:color w:val="666666"/>
          <w:sz w:val="20"/>
          <w:szCs w:val="20"/>
        </w:rPr>
        <w:t>Basel</w:t>
      </w:r>
      <w:proofErr w:type="spellEnd"/>
      <w:r>
        <w:rPr>
          <w:rFonts w:ascii="Tahoma" w:hAnsi="Tahoma" w:cs="Tahoma"/>
          <w:color w:val="666666"/>
          <w:sz w:val="20"/>
          <w:szCs w:val="20"/>
        </w:rPr>
        <w:t xml:space="preserve"> 1), составил 13</w:t>
      </w:r>
      <w:r w:rsidRPr="00EE347A">
        <w:rPr>
          <w:rFonts w:ascii="Tahoma" w:hAnsi="Tahoma" w:cs="Tahoma"/>
          <w:color w:val="666666"/>
          <w:sz w:val="20"/>
          <w:szCs w:val="20"/>
        </w:rPr>
        <w:t>,</w:t>
      </w:r>
      <w:r>
        <w:rPr>
          <w:rFonts w:ascii="Tahoma" w:hAnsi="Tahoma" w:cs="Tahoma"/>
          <w:color w:val="666666"/>
          <w:sz w:val="20"/>
          <w:szCs w:val="20"/>
        </w:rPr>
        <w:t>3</w:t>
      </w:r>
      <w:r w:rsidRPr="00EE347A">
        <w:rPr>
          <w:rFonts w:ascii="Tahoma" w:hAnsi="Tahoma" w:cs="Tahoma"/>
          <w:color w:val="666666"/>
          <w:sz w:val="20"/>
          <w:szCs w:val="20"/>
        </w:rPr>
        <w:t>%, что значительно выше установленного минимума в 8%; коэффициент достаточности капитала 1-ого уровня составил 1</w:t>
      </w:r>
      <w:r>
        <w:rPr>
          <w:rFonts w:ascii="Tahoma" w:hAnsi="Tahoma" w:cs="Tahoma"/>
          <w:color w:val="666666"/>
          <w:sz w:val="20"/>
          <w:szCs w:val="20"/>
        </w:rPr>
        <w:t>0</w:t>
      </w:r>
      <w:r w:rsidRPr="00EE347A">
        <w:rPr>
          <w:rFonts w:ascii="Tahoma" w:hAnsi="Tahoma" w:cs="Tahoma"/>
          <w:color w:val="666666"/>
          <w:sz w:val="20"/>
          <w:szCs w:val="20"/>
        </w:rPr>
        <w:t>,</w:t>
      </w:r>
      <w:r>
        <w:rPr>
          <w:rFonts w:ascii="Tahoma" w:hAnsi="Tahoma" w:cs="Tahoma"/>
          <w:color w:val="666666"/>
          <w:sz w:val="20"/>
          <w:szCs w:val="20"/>
        </w:rPr>
        <w:t>2</w:t>
      </w:r>
      <w:r w:rsidRPr="00EE347A">
        <w:rPr>
          <w:rFonts w:ascii="Tahoma" w:hAnsi="Tahoma" w:cs="Tahoma"/>
          <w:color w:val="666666"/>
          <w:sz w:val="20"/>
          <w:szCs w:val="20"/>
        </w:rPr>
        <w:t>%.</w:t>
      </w:r>
      <w:r>
        <w:rPr>
          <w:rFonts w:ascii="Tahoma" w:hAnsi="Tahoma" w:cs="Tahoma"/>
          <w:color w:val="666666"/>
          <w:sz w:val="20"/>
          <w:szCs w:val="20"/>
        </w:rPr>
        <w:t xml:space="preserve"> Снижение величины </w:t>
      </w:r>
      <w:r w:rsidRPr="00EE347A">
        <w:rPr>
          <w:rFonts w:ascii="Tahoma" w:hAnsi="Tahoma" w:cs="Tahoma"/>
          <w:color w:val="666666"/>
          <w:sz w:val="20"/>
          <w:szCs w:val="20"/>
        </w:rPr>
        <w:t>коэффициент</w:t>
      </w:r>
      <w:r>
        <w:rPr>
          <w:rFonts w:ascii="Tahoma" w:hAnsi="Tahoma" w:cs="Tahoma"/>
          <w:color w:val="666666"/>
          <w:sz w:val="20"/>
          <w:szCs w:val="20"/>
        </w:rPr>
        <w:t>а</w:t>
      </w:r>
      <w:r w:rsidRPr="00EE347A">
        <w:rPr>
          <w:rFonts w:ascii="Tahoma" w:hAnsi="Tahoma" w:cs="Tahoma"/>
          <w:color w:val="666666"/>
          <w:sz w:val="20"/>
          <w:szCs w:val="20"/>
        </w:rPr>
        <w:t xml:space="preserve"> достаточности</w:t>
      </w:r>
      <w:r w:rsidR="005D7A9E">
        <w:rPr>
          <w:rFonts w:ascii="Tahoma" w:hAnsi="Tahoma" w:cs="Tahoma"/>
          <w:color w:val="666666"/>
          <w:sz w:val="20"/>
          <w:szCs w:val="20"/>
        </w:rPr>
        <w:t xml:space="preserve"> капитала по сравнению с началом 2012 года связано с приобретением </w:t>
      </w:r>
      <w:r w:rsidR="005D7A9E">
        <w:rPr>
          <w:rFonts w:ascii="Tahoma" w:hAnsi="Tahoma" w:cs="Tahoma"/>
          <w:color w:val="666666"/>
          <w:sz w:val="20"/>
          <w:szCs w:val="20"/>
          <w:lang w:val="en-US"/>
        </w:rPr>
        <w:t>DenizBank</w:t>
      </w:r>
      <w:r w:rsidR="005D7A9E">
        <w:rPr>
          <w:rFonts w:ascii="Tahoma" w:hAnsi="Tahoma" w:cs="Tahoma"/>
          <w:color w:val="666666"/>
          <w:sz w:val="20"/>
          <w:szCs w:val="20"/>
        </w:rPr>
        <w:t xml:space="preserve"> в сентябре 2012 года</w:t>
      </w:r>
      <w:r w:rsidR="00942C55" w:rsidRPr="00942C55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42C55">
        <w:rPr>
          <w:rFonts w:ascii="Tahoma" w:hAnsi="Tahoma" w:cs="Tahoma"/>
          <w:color w:val="666666"/>
          <w:sz w:val="20"/>
          <w:szCs w:val="20"/>
        </w:rPr>
        <w:t xml:space="preserve">и </w:t>
      </w:r>
      <w:r w:rsidR="00942C55" w:rsidRPr="0025712E">
        <w:rPr>
          <w:rFonts w:ascii="Tahoma" w:hAnsi="Tahoma" w:cs="Tahoma"/>
          <w:color w:val="666666"/>
          <w:sz w:val="20"/>
          <w:szCs w:val="20"/>
          <w:lang w:val="en-US"/>
        </w:rPr>
        <w:t>Sberbank</w:t>
      </w:r>
      <w:r w:rsidR="00942C55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42C55" w:rsidRPr="0025712E">
        <w:rPr>
          <w:rFonts w:ascii="Tahoma" w:hAnsi="Tahoma" w:cs="Tahoma"/>
          <w:color w:val="666666"/>
          <w:sz w:val="20"/>
          <w:szCs w:val="20"/>
          <w:lang w:val="en-US"/>
        </w:rPr>
        <w:t>Europe</w:t>
      </w:r>
      <w:r w:rsidR="00942C55" w:rsidRPr="0025712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42C55" w:rsidRPr="0025712E">
        <w:rPr>
          <w:rFonts w:ascii="Tahoma" w:hAnsi="Tahoma" w:cs="Tahoma"/>
          <w:color w:val="666666"/>
          <w:sz w:val="20"/>
          <w:szCs w:val="20"/>
          <w:lang w:val="en-US"/>
        </w:rPr>
        <w:t>AG</w:t>
      </w:r>
      <w:r w:rsidR="00942C55">
        <w:rPr>
          <w:rFonts w:ascii="Tahoma" w:hAnsi="Tahoma" w:cs="Tahoma"/>
          <w:color w:val="666666"/>
          <w:sz w:val="20"/>
          <w:szCs w:val="20"/>
        </w:rPr>
        <w:t xml:space="preserve"> в феврале 2012 года</w:t>
      </w:r>
      <w:r w:rsidR="005D7A9E">
        <w:rPr>
          <w:rFonts w:ascii="Tahoma" w:hAnsi="Tahoma" w:cs="Tahoma"/>
          <w:color w:val="666666"/>
          <w:sz w:val="20"/>
          <w:szCs w:val="20"/>
        </w:rPr>
        <w:t>.</w:t>
      </w:r>
    </w:p>
    <w:p w:rsidR="00EE5E81" w:rsidRPr="005234D6" w:rsidRDefault="008D3A4A" w:rsidP="00EE5E81">
      <w:pPr>
        <w:shd w:val="clear" w:color="auto" w:fill="FFFFFF"/>
        <w:spacing w:after="300"/>
        <w:jc w:val="both"/>
      </w:pPr>
      <w:hyperlink r:id="rId8" w:history="1">
        <w:r w:rsidR="00EE5E81" w:rsidRPr="008D3A4A">
          <w:rPr>
            <w:rStyle w:val="a7"/>
            <w:rFonts w:ascii="Tahoma" w:hAnsi="Tahoma" w:cs="Tahoma"/>
            <w:sz w:val="20"/>
            <w:szCs w:val="20"/>
          </w:rPr>
          <w:t>Основные финансовые показатели Группы Сбербанка за 9 месяцев 2012 года</w:t>
        </w:r>
      </w:hyperlink>
      <w:r w:rsidR="00EE5E81">
        <w:t xml:space="preserve"> </w:t>
      </w:r>
    </w:p>
    <w:sectPr w:rsidR="00EE5E81" w:rsidRPr="005234D6" w:rsidSect="00D95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abstractNum w:abstractNumId="0">
    <w:nsid w:val="0C7C35A8"/>
    <w:multiLevelType w:val="hybridMultilevel"/>
    <w:tmpl w:val="5A20DA74"/>
    <w:lvl w:ilvl="0" w:tplc="1E88D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4C9B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D8F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40F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DECF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529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C8E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2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E1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11C09F6"/>
    <w:multiLevelType w:val="hybridMultilevel"/>
    <w:tmpl w:val="96ACC394"/>
    <w:lvl w:ilvl="0" w:tplc="7DF473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7050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8052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BCD3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7E3D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F49E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E58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54F0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56C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C1103A"/>
    <w:multiLevelType w:val="hybridMultilevel"/>
    <w:tmpl w:val="6D60632A"/>
    <w:lvl w:ilvl="0" w:tplc="CF987F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12E5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20F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3C2B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C9B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642B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7023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CA1C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D89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157AC9"/>
    <w:multiLevelType w:val="hybridMultilevel"/>
    <w:tmpl w:val="A13AC0FC"/>
    <w:lvl w:ilvl="0" w:tplc="21FE6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8622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2D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C6C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6A8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F65A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DC0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16F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26C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6C16B94"/>
    <w:multiLevelType w:val="multilevel"/>
    <w:tmpl w:val="91D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B61CE1"/>
    <w:multiLevelType w:val="hybridMultilevel"/>
    <w:tmpl w:val="1572306E"/>
    <w:lvl w:ilvl="0" w:tplc="7BC49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CCF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DA6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3CBA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AC6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EC3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56E3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AEB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7C3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B987E07"/>
    <w:multiLevelType w:val="multilevel"/>
    <w:tmpl w:val="2766D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>
    <w:nsid w:val="3F490E0E"/>
    <w:multiLevelType w:val="hybridMultilevel"/>
    <w:tmpl w:val="A902646C"/>
    <w:lvl w:ilvl="0" w:tplc="EAB23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4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6CA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BCD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B48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A8E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BE6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386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0E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3233421"/>
    <w:multiLevelType w:val="hybridMultilevel"/>
    <w:tmpl w:val="4DA2BF48"/>
    <w:lvl w:ilvl="0" w:tplc="BE38E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CE1D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DC7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007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701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2E7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EEF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FC72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5C6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8A44FC8"/>
    <w:multiLevelType w:val="hybridMultilevel"/>
    <w:tmpl w:val="E06882F8"/>
    <w:lvl w:ilvl="0" w:tplc="D612F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FCFE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2C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4A9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50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D61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A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761E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32A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F542616"/>
    <w:multiLevelType w:val="multilevel"/>
    <w:tmpl w:val="B298F1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>
    <w:nsid w:val="71DF5100"/>
    <w:multiLevelType w:val="multilevel"/>
    <w:tmpl w:val="4D48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EFA1EBC"/>
    <w:multiLevelType w:val="hybridMultilevel"/>
    <w:tmpl w:val="AE568EA6"/>
    <w:lvl w:ilvl="0" w:tplc="0726B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D680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24F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47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C40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E6A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A21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5AA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366C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2B"/>
    <w:rsid w:val="000030C6"/>
    <w:rsid w:val="00012985"/>
    <w:rsid w:val="00017B37"/>
    <w:rsid w:val="00076F16"/>
    <w:rsid w:val="00081FC6"/>
    <w:rsid w:val="00083224"/>
    <w:rsid w:val="000A3E3D"/>
    <w:rsid w:val="000A6E21"/>
    <w:rsid w:val="000C6429"/>
    <w:rsid w:val="000D3FFD"/>
    <w:rsid w:val="000E6DB8"/>
    <w:rsid w:val="000F424B"/>
    <w:rsid w:val="00130C93"/>
    <w:rsid w:val="00135FDC"/>
    <w:rsid w:val="00171B7D"/>
    <w:rsid w:val="00195664"/>
    <w:rsid w:val="001B20D3"/>
    <w:rsid w:val="001C6DAE"/>
    <w:rsid w:val="001D427A"/>
    <w:rsid w:val="001E1A52"/>
    <w:rsid w:val="001F7B88"/>
    <w:rsid w:val="002244C7"/>
    <w:rsid w:val="00225636"/>
    <w:rsid w:val="00254352"/>
    <w:rsid w:val="0025712E"/>
    <w:rsid w:val="00282410"/>
    <w:rsid w:val="0029075E"/>
    <w:rsid w:val="002915B6"/>
    <w:rsid w:val="002931F7"/>
    <w:rsid w:val="002B3B9F"/>
    <w:rsid w:val="002C596B"/>
    <w:rsid w:val="002F36CA"/>
    <w:rsid w:val="00333CA2"/>
    <w:rsid w:val="003345E0"/>
    <w:rsid w:val="00363BA5"/>
    <w:rsid w:val="00370536"/>
    <w:rsid w:val="00374E33"/>
    <w:rsid w:val="003832D0"/>
    <w:rsid w:val="003C257D"/>
    <w:rsid w:val="003C33F7"/>
    <w:rsid w:val="003C42A2"/>
    <w:rsid w:val="003D0F2A"/>
    <w:rsid w:val="003F1BF6"/>
    <w:rsid w:val="004256B0"/>
    <w:rsid w:val="00431C8A"/>
    <w:rsid w:val="004749C8"/>
    <w:rsid w:val="004A396B"/>
    <w:rsid w:val="004C0A63"/>
    <w:rsid w:val="004C73DE"/>
    <w:rsid w:val="004D7B9D"/>
    <w:rsid w:val="0051119B"/>
    <w:rsid w:val="00532BA0"/>
    <w:rsid w:val="005662F7"/>
    <w:rsid w:val="0059699C"/>
    <w:rsid w:val="00597E5F"/>
    <w:rsid w:val="005A3289"/>
    <w:rsid w:val="005A5239"/>
    <w:rsid w:val="005C0940"/>
    <w:rsid w:val="005C5E6A"/>
    <w:rsid w:val="005D7A9E"/>
    <w:rsid w:val="005E6D1B"/>
    <w:rsid w:val="005F2AB2"/>
    <w:rsid w:val="00604B3A"/>
    <w:rsid w:val="00646314"/>
    <w:rsid w:val="006539AC"/>
    <w:rsid w:val="006632F6"/>
    <w:rsid w:val="00665331"/>
    <w:rsid w:val="006860E4"/>
    <w:rsid w:val="00696EBA"/>
    <w:rsid w:val="006A0873"/>
    <w:rsid w:val="006A5B39"/>
    <w:rsid w:val="006C3E93"/>
    <w:rsid w:val="006C494E"/>
    <w:rsid w:val="00700D09"/>
    <w:rsid w:val="00701F99"/>
    <w:rsid w:val="007105EF"/>
    <w:rsid w:val="00714FC8"/>
    <w:rsid w:val="00723AB7"/>
    <w:rsid w:val="00726EC8"/>
    <w:rsid w:val="00730421"/>
    <w:rsid w:val="00753D91"/>
    <w:rsid w:val="007646F7"/>
    <w:rsid w:val="007807A1"/>
    <w:rsid w:val="00790ECF"/>
    <w:rsid w:val="00796040"/>
    <w:rsid w:val="007A17B9"/>
    <w:rsid w:val="007A22B5"/>
    <w:rsid w:val="007C0B8A"/>
    <w:rsid w:val="007C433B"/>
    <w:rsid w:val="00822ECC"/>
    <w:rsid w:val="008507F0"/>
    <w:rsid w:val="00856466"/>
    <w:rsid w:val="008C2E10"/>
    <w:rsid w:val="008C3542"/>
    <w:rsid w:val="008D3A4A"/>
    <w:rsid w:val="008D3E4A"/>
    <w:rsid w:val="008D3E7E"/>
    <w:rsid w:val="008F172B"/>
    <w:rsid w:val="00901DBC"/>
    <w:rsid w:val="00925C2E"/>
    <w:rsid w:val="00930029"/>
    <w:rsid w:val="00936D83"/>
    <w:rsid w:val="00942C55"/>
    <w:rsid w:val="00951975"/>
    <w:rsid w:val="009538EF"/>
    <w:rsid w:val="009A6C41"/>
    <w:rsid w:val="009C6167"/>
    <w:rsid w:val="009E2FBA"/>
    <w:rsid w:val="00A16414"/>
    <w:rsid w:val="00A2154D"/>
    <w:rsid w:val="00A7402C"/>
    <w:rsid w:val="00A82423"/>
    <w:rsid w:val="00AA0AA9"/>
    <w:rsid w:val="00AA2C54"/>
    <w:rsid w:val="00AC0468"/>
    <w:rsid w:val="00AC2439"/>
    <w:rsid w:val="00AD7C5A"/>
    <w:rsid w:val="00AE7EBC"/>
    <w:rsid w:val="00AF788D"/>
    <w:rsid w:val="00B20401"/>
    <w:rsid w:val="00B521C2"/>
    <w:rsid w:val="00B71087"/>
    <w:rsid w:val="00BC15E2"/>
    <w:rsid w:val="00BC202E"/>
    <w:rsid w:val="00BC2EE3"/>
    <w:rsid w:val="00BD5F01"/>
    <w:rsid w:val="00BF474E"/>
    <w:rsid w:val="00BF577D"/>
    <w:rsid w:val="00C27F9F"/>
    <w:rsid w:val="00C460F3"/>
    <w:rsid w:val="00C50FC9"/>
    <w:rsid w:val="00C86701"/>
    <w:rsid w:val="00CA32CB"/>
    <w:rsid w:val="00CA4822"/>
    <w:rsid w:val="00CE5568"/>
    <w:rsid w:val="00D112E2"/>
    <w:rsid w:val="00D4404C"/>
    <w:rsid w:val="00D57D30"/>
    <w:rsid w:val="00D773C5"/>
    <w:rsid w:val="00D9563F"/>
    <w:rsid w:val="00DC0D07"/>
    <w:rsid w:val="00DC2D4B"/>
    <w:rsid w:val="00DF302A"/>
    <w:rsid w:val="00DF4D2B"/>
    <w:rsid w:val="00E338A2"/>
    <w:rsid w:val="00E5064C"/>
    <w:rsid w:val="00E70F45"/>
    <w:rsid w:val="00E87E9F"/>
    <w:rsid w:val="00EA682E"/>
    <w:rsid w:val="00EB03F1"/>
    <w:rsid w:val="00ED3B2E"/>
    <w:rsid w:val="00EE5E81"/>
    <w:rsid w:val="00F205C3"/>
    <w:rsid w:val="00F218BE"/>
    <w:rsid w:val="00F4300E"/>
    <w:rsid w:val="00F8541E"/>
    <w:rsid w:val="00FC0205"/>
    <w:rsid w:val="00FC168A"/>
    <w:rsid w:val="00FC6221"/>
    <w:rsid w:val="00FC6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4D2B"/>
    <w:rPr>
      <w:b/>
      <w:bCs/>
    </w:rPr>
  </w:style>
  <w:style w:type="paragraph" w:styleId="a4">
    <w:name w:val="Balloon Text"/>
    <w:basedOn w:val="a"/>
    <w:link w:val="a5"/>
    <w:rsid w:val="00D112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12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5331"/>
    <w:pPr>
      <w:ind w:left="720"/>
      <w:contextualSpacing/>
    </w:pPr>
  </w:style>
  <w:style w:type="character" w:styleId="a7">
    <w:name w:val="Hyperlink"/>
    <w:basedOn w:val="a0"/>
    <w:rsid w:val="008D3A4A"/>
    <w:rPr>
      <w:color w:val="0000FF" w:themeColor="hyperlink"/>
      <w:u w:val="single"/>
    </w:rPr>
  </w:style>
  <w:style w:type="character" w:styleId="a8">
    <w:name w:val="FollowedHyperlink"/>
    <w:basedOn w:val="a0"/>
    <w:rsid w:val="00AC243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4D2B"/>
    <w:rPr>
      <w:b/>
      <w:bCs/>
    </w:rPr>
  </w:style>
  <w:style w:type="paragraph" w:styleId="a4">
    <w:name w:val="Balloon Text"/>
    <w:basedOn w:val="a"/>
    <w:link w:val="a5"/>
    <w:rsid w:val="00D112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12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5331"/>
    <w:pPr>
      <w:ind w:left="720"/>
      <w:contextualSpacing/>
    </w:pPr>
  </w:style>
  <w:style w:type="character" w:styleId="a7">
    <w:name w:val="Hyperlink"/>
    <w:basedOn w:val="a0"/>
    <w:rsid w:val="008D3A4A"/>
    <w:rPr>
      <w:color w:val="0000FF" w:themeColor="hyperlink"/>
      <w:u w:val="single"/>
    </w:rPr>
  </w:style>
  <w:style w:type="character" w:styleId="a8">
    <w:name w:val="FollowedHyperlink"/>
    <w:basedOn w:val="a0"/>
    <w:rsid w:val="00AC24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0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4406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4578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0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7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76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608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99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46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95738">
              <w:marLeft w:val="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93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38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966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10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247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819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9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20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580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39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1149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85822">
          <w:marLeft w:val="518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1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50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787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638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1263">
          <w:marLeft w:val="518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25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3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6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1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erbank.ru/common/img/uploaded/files/info/info_9M2012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berbank.ru/common/img/uploaded/files/info/Presentation_Russian_3q12_v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.ru/common/img/uploaded/files/info/Word_04_12_12_clean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soboleva-en</dc:creator>
  <cp:keywords/>
  <dc:description/>
  <cp:lastModifiedBy>Gertsen-YI</cp:lastModifiedBy>
  <cp:revision>38</cp:revision>
  <cp:lastPrinted>2012-12-04T18:01:00Z</cp:lastPrinted>
  <dcterms:created xsi:type="dcterms:W3CDTF">2012-12-04T16:24:00Z</dcterms:created>
  <dcterms:modified xsi:type="dcterms:W3CDTF">2012-12-05T05:40:00Z</dcterms:modified>
</cp:coreProperties>
</file>